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header9.xml" ContentType="application/vnd.openxmlformats-officedocument.wordprocessingml.header+xml"/>
  <Override PartName="/word/header8.xml" ContentType="application/vnd.openxmlformats-officedocument.wordprocessingml.header+xml"/>
  <Override PartName="/word/header11.xml" ContentType="application/vnd.openxmlformats-officedocument.wordprocessingml.header+xml"/>
  <Override PartName="/word/header10.xml" ContentType="application/vnd.openxmlformats-officedocument.wordprocessingml.header+xml"/>
  <Override PartName="/word/header7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5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6.xml" ContentType="application/vnd.openxmlformats-officedocument.wordprocessingml.head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right="284" w:hanging="0"/>
        <w:jc w:val="right"/>
        <w:rPr>
          <w:spacing w:val="20"/>
          <w:szCs w:val="24"/>
        </w:rPr>
      </w:pPr>
      <w:r>
        <w:rPr>
          <w:spacing w:val="20"/>
          <w:szCs w:val="24"/>
        </w:rPr>
      </w:r>
    </w:p>
    <w:p>
      <w:pPr>
        <w:pStyle w:val="Normal"/>
        <w:ind w:right="284" w:hanging="0"/>
        <w:jc w:val="right"/>
        <w:rPr>
          <w:spacing w:val="20"/>
          <w:szCs w:val="24"/>
        </w:rPr>
      </w:pPr>
      <w:r>
        <w:rPr>
          <w:spacing w:val="20"/>
          <w:szCs w:val="24"/>
        </w:rPr>
      </w:r>
    </w:p>
    <w:p>
      <w:pPr>
        <w:pStyle w:val="Normal"/>
        <w:ind w:right="284" w:hanging="0"/>
        <w:jc w:val="right"/>
        <w:rPr>
          <w:spacing w:val="20"/>
          <w:szCs w:val="24"/>
        </w:rPr>
      </w:pPr>
      <w:r>
        <w:rPr>
          <w:spacing w:val="20"/>
          <w:szCs w:val="24"/>
        </w:rPr>
      </w:r>
    </w:p>
    <w:p>
      <w:pPr>
        <w:pStyle w:val="Normal"/>
        <w:ind w:right="284" w:hanging="0"/>
        <w:jc w:val="right"/>
        <w:rPr>
          <w:spacing w:val="20"/>
          <w:szCs w:val="24"/>
        </w:rPr>
      </w:pPr>
      <w:r>
        <w:rPr>
          <w:spacing w:val="20"/>
          <w:szCs w:val="24"/>
        </w:rPr>
      </w:r>
    </w:p>
    <w:p>
      <w:pPr>
        <w:pStyle w:val="Normal"/>
        <w:ind w:right="283" w:hanging="0"/>
        <w:jc w:val="center"/>
        <w:rPr>
          <w:spacing w:val="20"/>
          <w:szCs w:val="24"/>
        </w:rPr>
      </w:pPr>
      <w:r>
        <w:rPr>
          <w:spacing w:val="20"/>
          <w:szCs w:val="24"/>
        </w:rPr>
      </w:r>
    </w:p>
    <w:p>
      <w:pPr>
        <w:pStyle w:val="Normal"/>
        <w:ind w:right="283" w:hanging="0"/>
        <w:rPr>
          <w:spacing w:val="20"/>
          <w:szCs w:val="24"/>
        </w:rPr>
      </w:pPr>
      <w:r>
        <w:rPr>
          <w:spacing w:val="20"/>
          <w:szCs w:val="24"/>
        </w:rPr>
      </w:r>
    </w:p>
    <w:p>
      <w:pPr>
        <w:pStyle w:val="Normal"/>
        <w:ind w:right="283" w:hanging="0"/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</w:r>
    </w:p>
    <w:p>
      <w:pPr>
        <w:pStyle w:val="Normal"/>
        <w:ind w:right="283" w:hanging="0"/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</w:r>
    </w:p>
    <w:p>
      <w:pPr>
        <w:pStyle w:val="Normal"/>
        <w:ind w:right="283" w:hanging="0"/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</w:r>
    </w:p>
    <w:p>
      <w:pPr>
        <w:pStyle w:val="Normal"/>
        <w:ind w:right="283" w:hanging="0"/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</w:r>
    </w:p>
    <w:p>
      <w:pPr>
        <w:pStyle w:val="Normal"/>
        <w:ind w:right="283" w:hanging="0"/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</w:r>
    </w:p>
    <w:p>
      <w:pPr>
        <w:pStyle w:val="Normal"/>
        <w:ind w:right="283" w:hanging="0"/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</w:r>
    </w:p>
    <w:p>
      <w:pPr>
        <w:pStyle w:val="Normal"/>
        <w:ind w:right="283" w:hanging="0"/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</w:r>
    </w:p>
    <w:p>
      <w:pPr>
        <w:pStyle w:val="Normal"/>
        <w:ind w:right="283" w:hanging="0"/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</w:r>
    </w:p>
    <w:p>
      <w:pPr>
        <w:pStyle w:val="Normal"/>
        <w:ind w:right="283" w:hanging="0"/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</w:r>
    </w:p>
    <w:p>
      <w:pPr>
        <w:pStyle w:val="Normal"/>
        <w:ind w:right="283" w:hanging="0"/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</w:r>
    </w:p>
    <w:p>
      <w:pPr>
        <w:pStyle w:val="Normal"/>
        <w:ind w:right="283" w:hanging="0"/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</w:r>
    </w:p>
    <w:p>
      <w:pPr>
        <w:pStyle w:val="Normal"/>
        <w:ind w:right="283" w:hanging="0"/>
        <w:jc w:val="center"/>
        <w:rPr>
          <w:sz w:val="28"/>
        </w:rPr>
      </w:pPr>
      <w:r>
        <w:rPr>
          <w:rFonts w:eastAsia="Calibri"/>
          <w:b/>
          <w:sz w:val="28"/>
        </w:rPr>
        <w:t>Технические требования на выполнение работ</w:t>
      </w:r>
    </w:p>
    <w:p>
      <w:pPr>
        <w:pStyle w:val="Normal"/>
        <w:ind w:right="283" w:hanging="0"/>
        <w:jc w:val="center"/>
        <w:rPr>
          <w:sz w:val="28"/>
        </w:rPr>
      </w:pPr>
      <w:r>
        <w:rPr>
          <w:rFonts w:eastAsia="Calibri"/>
          <w:b/>
          <w:sz w:val="28"/>
        </w:rPr>
        <w:t>«ОКПД2 33.12.19.000 Выполнение работ по текущему ремонту регулятора безопасности газотурбинной установки для нужд филиала Якутская ГРЭС в рамках ремонтной программы».</w:t>
      </w:r>
    </w:p>
    <w:p>
      <w:pPr>
        <w:pStyle w:val="Normal"/>
        <w:ind w:right="283" w:hanging="0"/>
        <w:jc w:val="center"/>
        <w:rPr>
          <w:rFonts w:eastAsia="Calibri"/>
          <w:b/>
          <w:sz w:val="28"/>
        </w:rPr>
      </w:pPr>
      <w:r>
        <w:rPr>
          <w:rFonts w:eastAsia="Calibri"/>
          <w:b/>
          <w:sz w:val="28"/>
        </w:rPr>
      </w:r>
      <w:r>
        <w:br w:type="page"/>
      </w:r>
    </w:p>
    <w:p>
      <w:pPr>
        <w:pStyle w:val="Normal"/>
        <w:jc w:val="center"/>
        <w:rPr>
          <w:szCs w:val="24"/>
        </w:rPr>
      </w:pPr>
      <w:r>
        <w:rPr>
          <w:b/>
          <w:szCs w:val="24"/>
        </w:rPr>
        <w:t>СОДЕРЖАНИЕ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1"/>
            <w:tabs>
              <w:tab w:val="clear" w:pos="708"/>
              <w:tab w:val="right" w:pos="9921" w:leader="dot"/>
            </w:tabs>
            <w:rPr/>
          </w:pPr>
          <w:r>
            <w:fldChar w:fldCharType="begin"/>
          </w:r>
          <w:r>
            <w:rPr>
              <w:rStyle w:val="Style16"/>
            </w:rPr>
            <w:instrText xml:space="preserve"> TOC \o "1-4" \h</w:instrText>
          </w:r>
          <w:r>
            <w:rPr>
              <w:rStyle w:val="Style16"/>
            </w:rPr>
            <w:fldChar w:fldCharType="separate"/>
          </w:r>
          <w:hyperlink w:anchor="__RefHeading___Toc12236_2593447515">
            <w:r>
              <w:rPr>
                <w:rStyle w:val="Style16"/>
              </w:rPr>
              <w:t>1. Общие сведения</w:t>
              <w:tab/>
              <w:t>3</w:t>
            </w:r>
          </w:hyperlink>
        </w:p>
        <w:p>
          <w:pPr>
            <w:pStyle w:val="TOC1"/>
            <w:tabs>
              <w:tab w:val="clear" w:pos="708"/>
              <w:tab w:val="right" w:pos="9921" w:leader="dot"/>
            </w:tabs>
            <w:rPr/>
          </w:pPr>
          <w:hyperlink w:anchor="__RefHeading___Toc12248_2593447515">
            <w:r>
              <w:rPr>
                <w:rStyle w:val="Style16"/>
              </w:rPr>
              <w:t xml:space="preserve">2. </w:t>
            </w:r>
            <w:r>
              <w:rPr>
                <w:rStyle w:val="Style16"/>
                <w:iCs/>
              </w:rPr>
              <w:t>Требования к продукции</w:t>
            </w:r>
            <w:r>
              <w:rPr>
                <w:rStyle w:val="Style16"/>
              </w:rPr>
              <w:tab/>
              <w:t>4</w:t>
            </w:r>
          </w:hyperlink>
        </w:p>
        <w:p>
          <w:pPr>
            <w:pStyle w:val="TOC1"/>
            <w:tabs>
              <w:tab w:val="clear" w:pos="708"/>
              <w:tab w:val="right" w:pos="9921" w:leader="dot"/>
            </w:tabs>
            <w:rPr/>
          </w:pPr>
          <w:hyperlink w:anchor="__RefHeading___Toc12266_2593447515">
            <w:r>
              <w:rPr>
                <w:rStyle w:val="Style16"/>
              </w:rPr>
              <w:t>3. Требования к документации по ценообразованию на этапе закупки</w:t>
              <w:tab/>
              <w:t>14</w:t>
            </w:r>
          </w:hyperlink>
        </w:p>
        <w:p>
          <w:pPr>
            <w:pStyle w:val="TOC1"/>
            <w:tabs>
              <w:tab w:val="clear" w:pos="708"/>
              <w:tab w:val="right" w:pos="9921" w:leader="dot"/>
            </w:tabs>
            <w:rPr/>
          </w:pPr>
          <w:hyperlink w:anchor="__RefHeading___Toc12268_2593447515">
            <w:r>
              <w:rPr>
                <w:rStyle w:val="Style16"/>
              </w:rPr>
              <w:t>4. Требования к документации по ценообразованию на этапе заключения (исполнения) договора</w:t>
              <w:tab/>
              <w:t>14</w:t>
            </w:r>
          </w:hyperlink>
        </w:p>
        <w:p>
          <w:pPr>
            <w:pStyle w:val="TOC1"/>
            <w:tabs>
              <w:tab w:val="clear" w:pos="708"/>
              <w:tab w:val="right" w:pos="9921" w:leader="dot"/>
            </w:tabs>
            <w:rPr/>
          </w:pPr>
          <w:hyperlink w:anchor="__RefHeading___Toc12278_2593447515">
            <w:r>
              <w:rPr>
                <w:rStyle w:val="Style16"/>
              </w:rPr>
              <w:t xml:space="preserve">5. </w:t>
            </w:r>
            <w:r>
              <w:rPr>
                <w:rStyle w:val="Style16"/>
                <w:iCs/>
              </w:rPr>
              <w:t>Приложения</w:t>
            </w:r>
            <w:r>
              <w:rPr>
                <w:rStyle w:val="Style16"/>
              </w:rPr>
              <w:tab/>
              <w:t>14</w:t>
            </w:r>
          </w:hyperlink>
          <w:r>
            <w:rPr>
              <w:rStyle w:val="Style16"/>
            </w:rPr>
            <w:fldChar w:fldCharType="end"/>
          </w:r>
        </w:p>
      </w:sdtContent>
    </w:sdt>
    <w:p>
      <w:pPr>
        <w:pStyle w:val="Heading2"/>
        <w:numPr>
          <w:ilvl w:val="0"/>
        </w:numPr>
        <w:tabs>
          <w:tab w:val="clear" w:pos="0"/>
        </w:tabs>
        <w:ind w:left="0" w:hanging="0"/>
        <w:rPr>
          <w:b w:val="false"/>
          <w:i/>
          <w:i/>
        </w:rPr>
      </w:pPr>
      <w:r>
        <w:rPr>
          <w:b w:val="false"/>
          <w:i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Cs w:val="24"/>
        </w:rPr>
      </w:pPr>
      <w:r>
        <w:rPr>
          <w:rFonts w:eastAsia="Calibri"/>
          <w:b/>
          <w:i/>
          <w:szCs w:val="24"/>
        </w:rPr>
      </w:r>
      <w:r>
        <w:br w:type="page"/>
      </w:r>
    </w:p>
    <w:p>
      <w:pPr>
        <w:pStyle w:val="Heading1"/>
        <w:keepLines/>
        <w:numPr>
          <w:ilvl w:val="0"/>
          <w:numId w:val="3"/>
        </w:numPr>
        <w:ind w:left="357" w:hanging="357"/>
        <w:jc w:val="center"/>
        <w:rPr>
          <w:sz w:val="24"/>
          <w:szCs w:val="24"/>
        </w:rPr>
      </w:pPr>
      <w:bookmarkStart w:id="0" w:name="__RefHeading___Toc12236_2593447515"/>
      <w:bookmarkStart w:id="1" w:name="_Toc124950346"/>
      <w:bookmarkStart w:id="2" w:name="_Toc51339692"/>
      <w:bookmarkEnd w:id="0"/>
      <w:r>
        <w:rPr>
          <w:sz w:val="24"/>
          <w:szCs w:val="24"/>
          <w:lang w:val="ru-RU"/>
        </w:rPr>
        <w:t>Общие сведения</w:t>
      </w:r>
      <w:bookmarkEnd w:id="1"/>
      <w:bookmarkEnd w:id="2"/>
    </w:p>
    <w:p>
      <w:pPr>
        <w:pStyle w:val="Heading4"/>
        <w:numPr>
          <w:ilvl w:val="1"/>
          <w:numId w:val="3"/>
        </w:numPr>
        <w:jc w:val="center"/>
        <w:rPr/>
      </w:pPr>
      <w:bookmarkStart w:id="3" w:name="__RefHeading___Toc12238_2593447515"/>
      <w:bookmarkStart w:id="4" w:name="_Toc124950347"/>
      <w:bookmarkStart w:id="5" w:name="_Toc46743505"/>
      <w:bookmarkEnd w:id="3"/>
      <w:r>
        <w:rPr/>
        <w:t>Обозначения и сокращения</w:t>
      </w:r>
      <w:bookmarkEnd w:id="4"/>
      <w:bookmarkEnd w:id="5"/>
    </w:p>
    <w:p>
      <w:pPr>
        <w:pStyle w:val="Normal"/>
        <w:rPr>
          <w:szCs w:val="24"/>
          <w:lang w:val="x-none" w:eastAsia="x-none"/>
        </w:rPr>
      </w:pPr>
      <w:r>
        <w:rPr>
          <w:szCs w:val="24"/>
          <w:lang w:val="x-none" w:eastAsia="x-none"/>
        </w:rPr>
      </w:r>
    </w:p>
    <w:p>
      <w:pPr>
        <w:pStyle w:val="Normal"/>
        <w:rPr>
          <w:szCs w:val="24"/>
          <w:lang w:val="x-none" w:eastAsia="x-none"/>
        </w:rPr>
      </w:pPr>
      <w:r>
        <w:rPr>
          <w:szCs w:val="24"/>
          <w:lang w:val="x-none" w:eastAsia="x-none"/>
        </w:rPr>
      </w:r>
    </w:p>
    <w:tbl>
      <w:tblPr>
        <w:tblW w:w="978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785"/>
        <w:gridCol w:w="7997"/>
      </w:tblGrid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Cs w:val="24"/>
              </w:rPr>
            </w:pPr>
            <w:r>
              <w:rPr>
                <w:b/>
                <w:szCs w:val="24"/>
              </w:rPr>
              <w:t>ТТ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Cs w:val="24"/>
              </w:rPr>
            </w:pPr>
            <w:r>
              <w:rPr>
                <w:i/>
                <w:szCs w:val="24"/>
              </w:rPr>
              <w:t>Технические требования</w:t>
            </w:r>
            <w:r>
              <w:rPr>
                <w:szCs w:val="24"/>
              </w:rPr>
              <w:t>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Cs w:val="24"/>
              </w:rPr>
            </w:pPr>
            <w:r>
              <w:rPr>
                <w:b/>
                <w:szCs w:val="24"/>
              </w:rPr>
              <w:t>ЯГРЭС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Cs w:val="24"/>
              </w:rPr>
            </w:pPr>
            <w:r>
              <w:rPr>
                <w:i/>
                <w:szCs w:val="24"/>
              </w:rPr>
              <w:t>Якутская государственная районная электрическая станция</w:t>
            </w:r>
            <w:r>
              <w:rPr>
                <w:szCs w:val="24"/>
              </w:rPr>
              <w:t>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Cs w:val="24"/>
              </w:rPr>
            </w:pPr>
            <w:r>
              <w:rPr>
                <w:b/>
                <w:szCs w:val="24"/>
              </w:rPr>
              <w:t>ППР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Cs w:val="24"/>
              </w:rPr>
            </w:pPr>
            <w:r>
              <w:rPr>
                <w:i/>
                <w:szCs w:val="24"/>
              </w:rPr>
              <w:t>Проект производства работ</w:t>
            </w:r>
            <w:r>
              <w:rPr>
                <w:szCs w:val="24"/>
              </w:rPr>
              <w:t>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Cs w:val="24"/>
              </w:rPr>
            </w:pPr>
            <w:r>
              <w:rPr>
                <w:b/>
                <w:szCs w:val="24"/>
              </w:rPr>
              <w:t>ОППР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Cs w:val="24"/>
              </w:rPr>
            </w:pPr>
            <w:r>
              <w:rPr>
                <w:i/>
                <w:szCs w:val="24"/>
              </w:rPr>
              <w:t>Отдел планирования и подготовки ремонта</w:t>
            </w:r>
            <w:r>
              <w:rPr>
                <w:szCs w:val="24"/>
              </w:rPr>
              <w:t>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Cs w:val="24"/>
              </w:rPr>
            </w:pPr>
            <w:r>
              <w:rPr>
                <w:b/>
                <w:szCs w:val="24"/>
              </w:rPr>
              <w:t>ВОР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Cs w:val="24"/>
              </w:rPr>
            </w:pPr>
            <w:r>
              <w:rPr>
                <w:i/>
                <w:szCs w:val="24"/>
              </w:rPr>
              <w:t>Ведомость объемов работ;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Cs w:val="24"/>
              </w:rPr>
            </w:pPr>
            <w:r>
              <w:rPr>
                <w:b/>
                <w:szCs w:val="24"/>
              </w:rPr>
              <w:t>ГТУ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Cs w:val="24"/>
              </w:rPr>
            </w:pPr>
            <w:r>
              <w:rPr>
                <w:i/>
                <w:szCs w:val="24"/>
              </w:rPr>
              <w:t>Газотурбинная установка.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i/>
                <w:i/>
                <w:szCs w:val="24"/>
              </w:rPr>
            </w:pPr>
            <w:r>
              <w:rPr>
                <w:i/>
                <w:szCs w:val="24"/>
              </w:rPr>
            </w:r>
          </w:p>
        </w:tc>
      </w:tr>
    </w:tbl>
    <w:p>
      <w:pPr>
        <w:pStyle w:val="Normal"/>
        <w:rPr>
          <w:bCs/>
          <w:iCs/>
          <w:szCs w:val="24"/>
        </w:rPr>
      </w:pPr>
      <w:r>
        <w:rPr>
          <w:bCs/>
          <w:iCs/>
          <w:szCs w:val="24"/>
        </w:rPr>
      </w:r>
    </w:p>
    <w:p>
      <w:pPr>
        <w:pStyle w:val="Normal"/>
        <w:rPr>
          <w:bCs/>
          <w:i/>
          <w:i/>
          <w:iCs/>
          <w:szCs w:val="24"/>
          <w:shd w:fill="FFFF99" w:val="clear"/>
        </w:rPr>
      </w:pPr>
      <w:r>
        <w:rPr>
          <w:bCs/>
          <w:i/>
          <w:iCs/>
          <w:szCs w:val="24"/>
          <w:shd w:fill="FFFF99" w:val="clear"/>
        </w:rPr>
      </w:r>
    </w:p>
    <w:p>
      <w:pPr>
        <w:pStyle w:val="Heading4"/>
        <w:numPr>
          <w:ilvl w:val="1"/>
          <w:numId w:val="3"/>
        </w:numPr>
        <w:rPr/>
      </w:pPr>
      <w:bookmarkStart w:id="6" w:name="__RefHeading___Toc12240_2593447515"/>
      <w:bookmarkStart w:id="7" w:name="_Toc46743506"/>
      <w:bookmarkStart w:id="8" w:name="_Toc124950348"/>
      <w:bookmarkEnd w:id="6"/>
      <w:r>
        <w:rPr/>
        <w:t>Наименование закупаемой продукции</w:t>
      </w:r>
      <w:bookmarkEnd w:id="7"/>
      <w:bookmarkEnd w:id="8"/>
    </w:p>
    <w:p>
      <w:pPr>
        <w:pStyle w:val="Normal"/>
        <w:jc w:val="both"/>
        <w:rPr>
          <w:szCs w:val="24"/>
        </w:rPr>
      </w:pPr>
      <w:r>
        <w:rPr>
          <w:szCs w:val="24"/>
        </w:rPr>
        <w:t>Р</w:t>
      </w:r>
      <w:r>
        <w:rPr>
          <w:szCs w:val="24"/>
        </w:rPr>
        <w:t>емонт регулятора безопасности газотурбинной установки для нужд филиала Якутская ГРЭС в рамках ремонтной программы</w:t>
      </w:r>
      <w:bookmarkStart w:id="9" w:name="_Toc124950349"/>
    </w:p>
    <w:p>
      <w:pPr>
        <w:pStyle w:val="Heading4"/>
        <w:numPr>
          <w:ilvl w:val="1"/>
          <w:numId w:val="3"/>
        </w:numPr>
        <w:rPr/>
      </w:pPr>
      <w:bookmarkStart w:id="10" w:name="__RefHeading___Toc12242_2593447515"/>
      <w:bookmarkStart w:id="11" w:name="_Toc46743507"/>
      <w:bookmarkEnd w:id="10"/>
      <w:r>
        <w:rPr/>
        <w:t xml:space="preserve">Цель </w:t>
      </w:r>
      <w:bookmarkEnd w:id="11"/>
      <w:r>
        <w:rPr/>
        <w:t>выполнения работ</w:t>
      </w:r>
      <w:bookmarkEnd w:id="9"/>
      <w:r>
        <w:rPr/>
        <w:t xml:space="preserve"> </w:t>
      </w:r>
    </w:p>
    <w:p>
      <w:pPr>
        <w:pStyle w:val="Normal"/>
        <w:jc w:val="both"/>
        <w:rPr>
          <w:szCs w:val="24"/>
        </w:rPr>
      </w:pPr>
      <w:r>
        <w:rPr>
          <w:szCs w:val="24"/>
        </w:rPr>
        <w:t>Р</w:t>
      </w:r>
      <w:r>
        <w:rPr>
          <w:szCs w:val="24"/>
        </w:rPr>
        <w:t>емонт регулятора безопасности газотурбинной установки для нужд филиала Якутская ГРЭС</w:t>
      </w:r>
    </w:p>
    <w:p>
      <w:pPr>
        <w:pStyle w:val="Heading4"/>
        <w:numPr>
          <w:ilvl w:val="1"/>
          <w:numId w:val="3"/>
        </w:numPr>
        <w:rPr/>
      </w:pPr>
      <w:bookmarkStart w:id="12" w:name="__RefHeading___Toc12244_2593447515"/>
      <w:bookmarkStart w:id="13" w:name="_Toc124950350"/>
      <w:bookmarkStart w:id="14" w:name="_Toc46743508"/>
      <w:bookmarkEnd w:id="12"/>
      <w:r>
        <w:rPr/>
        <w:t>Существующее положение</w:t>
      </w:r>
      <w:bookmarkEnd w:id="13"/>
      <w:bookmarkEnd w:id="14"/>
    </w:p>
    <w:p>
      <w:pPr>
        <w:pStyle w:val="Heading1"/>
        <w:keepLines/>
        <w:numPr>
          <w:ilvl w:val="0"/>
          <w:numId w:val="0"/>
        </w:numPr>
        <w:spacing w:before="240" w:after="60"/>
        <w:ind w:left="0" w:hanging="0"/>
        <w:rPr>
          <w:sz w:val="24"/>
          <w:szCs w:val="24"/>
        </w:rPr>
      </w:pPr>
      <w:bookmarkStart w:id="15" w:name="__RefHeading___Toc12246_2593447515"/>
      <w:bookmarkStart w:id="16" w:name="_Toc124950351"/>
      <w:bookmarkEnd w:id="15"/>
      <w:r>
        <w:rPr>
          <w:sz w:val="24"/>
          <w:szCs w:val="24"/>
        </w:rPr>
        <w:t>Таблица 1</w:t>
      </w:r>
      <w:r>
        <w:rPr>
          <w:sz w:val="24"/>
          <w:szCs w:val="24"/>
          <w:lang w:val="ru-RU"/>
        </w:rPr>
        <w:t>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Перечень объектов заказчика</w:t>
      </w:r>
      <w:bookmarkEnd w:id="16"/>
    </w:p>
    <w:p>
      <w:pPr>
        <w:pStyle w:val="Normal"/>
        <w:rPr>
          <w:szCs w:val="24"/>
          <w:lang w:eastAsia="x-none"/>
        </w:rPr>
      </w:pPr>
      <w:r>
        <w:rPr>
          <w:szCs w:val="24"/>
          <w:lang w:eastAsia="x-none"/>
        </w:rPr>
      </w:r>
    </w:p>
    <w:tbl>
      <w:tblPr>
        <w:tblW w:w="991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817"/>
        <w:gridCol w:w="2297"/>
        <w:gridCol w:w="2410"/>
        <w:gridCol w:w="2821"/>
        <w:gridCol w:w="1573"/>
      </w:tblGrid>
      <w:tr>
        <w:trPr/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Cs w:val="24"/>
              </w:rPr>
            </w:pPr>
            <w:r>
              <w:rPr>
                <w:szCs w:val="24"/>
              </w:rPr>
              <w:t>№</w:t>
            </w:r>
          </w:p>
          <w:p>
            <w:pPr>
              <w:pStyle w:val="Normal"/>
              <w:widowControl w:val="false"/>
              <w:rPr>
                <w:szCs w:val="24"/>
              </w:rPr>
            </w:pPr>
            <w:r>
              <w:rPr>
                <w:szCs w:val="24"/>
              </w:rPr>
              <w:t>п/п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Cs w:val="24"/>
              </w:rPr>
            </w:pPr>
            <w:r>
              <w:rPr>
                <w:szCs w:val="24"/>
              </w:rPr>
              <w:t>Наименование объекта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Расположение объекта </w:t>
              <w:br/>
            </w:r>
            <w:r>
              <w:rPr>
                <w:i/>
                <w:iCs/>
                <w:szCs w:val="24"/>
              </w:rPr>
              <w:t>(место производства работ)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Наименование основного средства </w:t>
              <w:br/>
              <w:t>(в отношении которого выполняются работы)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Cs w:val="24"/>
              </w:rPr>
            </w:pPr>
            <w:r>
              <w:rPr>
                <w:szCs w:val="24"/>
              </w:rPr>
              <w:t>Примечания</w:t>
            </w:r>
          </w:p>
        </w:tc>
      </w:tr>
      <w:tr>
        <w:trPr>
          <w:trHeight w:val="567" w:hRule="atLeast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1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3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4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</w:tr>
      <w:tr>
        <w:trPr>
          <w:trHeight w:val="2130" w:hRule="atLeast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jc w:val="center"/>
              <w:rPr/>
            </w:pPr>
            <w:r>
              <w:rPr/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Cs w:val="24"/>
              </w:rPr>
            </w:pPr>
            <w:r>
              <w:rPr>
                <w:i/>
                <w:szCs w:val="24"/>
              </w:rPr>
              <w:t xml:space="preserve">Якутская ГРЭС </w:t>
            </w:r>
          </w:p>
          <w:p>
            <w:pPr>
              <w:pStyle w:val="Normal"/>
              <w:widowControl w:val="false"/>
              <w:jc w:val="center"/>
              <w:rPr>
                <w:szCs w:val="24"/>
              </w:rPr>
            </w:pPr>
            <w:r>
              <w:rPr>
                <w:szCs w:val="24"/>
              </w:rPr>
              <w:t>ПАО «Якутскэнерго»;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Cs w:val="24"/>
              </w:rPr>
            </w:pPr>
            <w:r>
              <w:rPr>
                <w:szCs w:val="24"/>
              </w:rPr>
              <w:t>677004, Республика Саха (Якутия), г. Якутск, Кржижановского, 2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Cs w:val="24"/>
              </w:rPr>
            </w:pPr>
            <w:r>
              <w:rPr>
                <w:i/>
                <w:szCs w:val="24"/>
              </w:rPr>
              <w:t>ГТЭ-45-3 ст.№4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i/>
                <w:i/>
                <w:szCs w:val="24"/>
              </w:rPr>
            </w:pPr>
            <w:r>
              <w:rPr>
                <w:i/>
                <w:szCs w:val="24"/>
              </w:rPr>
            </w:r>
          </w:p>
        </w:tc>
      </w:tr>
    </w:tbl>
    <w:p>
      <w:pPr>
        <w:pStyle w:val="Normal"/>
        <w:rPr>
          <w:szCs w:val="24"/>
        </w:rPr>
      </w:pPr>
      <w:r>
        <w:rPr>
          <w:szCs w:val="24"/>
        </w:rPr>
      </w:r>
    </w:p>
    <w:p>
      <w:pPr>
        <w:pStyle w:val="Heading1"/>
        <w:keepLines/>
        <w:numPr>
          <w:ilvl w:val="0"/>
          <w:numId w:val="3"/>
        </w:numPr>
        <w:spacing w:before="240" w:after="240"/>
        <w:ind w:left="357" w:hanging="357"/>
        <w:jc w:val="center"/>
        <w:rPr>
          <w:sz w:val="24"/>
          <w:szCs w:val="24"/>
        </w:rPr>
      </w:pPr>
      <w:bookmarkStart w:id="17" w:name="__RefHeading___Toc12248_2593447515"/>
      <w:bookmarkEnd w:id="17"/>
      <w:r>
        <w:rPr>
          <w:iCs/>
          <w:sz w:val="24"/>
          <w:szCs w:val="24"/>
        </w:rPr>
        <w:t>Требования к продукции</w:t>
      </w:r>
    </w:p>
    <w:p>
      <w:pPr>
        <w:pStyle w:val="Heading4"/>
        <w:numPr>
          <w:ilvl w:val="1"/>
          <w:numId w:val="3"/>
        </w:numPr>
        <w:rPr/>
      </w:pPr>
      <w:bookmarkStart w:id="18" w:name="__RefHeading___Toc12250_2593447515"/>
      <w:bookmarkStart w:id="19" w:name="_Toc124950353"/>
      <w:bookmarkEnd w:id="18"/>
      <w:r>
        <w:rPr/>
        <w:t xml:space="preserve">Требования к объемам и срокам </w:t>
      </w:r>
      <w:r>
        <w:rPr>
          <w:lang w:val="ru-RU"/>
        </w:rPr>
        <w:t>выполнения работ</w:t>
      </w:r>
      <w:bookmarkEnd w:id="19"/>
    </w:p>
    <w:p>
      <w:pPr>
        <w:pStyle w:val="Heading3"/>
        <w:numPr>
          <w:ilvl w:val="2"/>
          <w:numId w:val="3"/>
        </w:numPr>
        <w:rPr/>
      </w:pPr>
      <w:bookmarkStart w:id="20" w:name="__RefHeading___Toc12252_2593447515"/>
      <w:bookmarkStart w:id="21" w:name="_Toc124950354"/>
      <w:bookmarkEnd w:id="20"/>
      <w:r>
        <w:rPr>
          <w:lang w:val="ru-RU"/>
        </w:rPr>
        <w:t>Требования к видам и объемам работ</w:t>
      </w:r>
      <w:bookmarkEnd w:id="21"/>
    </w:p>
    <w:p>
      <w:pPr>
        <w:pStyle w:val="Heading1"/>
        <w:keepLines/>
        <w:numPr>
          <w:ilvl w:val="0"/>
          <w:numId w:val="0"/>
        </w:numPr>
        <w:spacing w:before="240" w:after="240"/>
        <w:ind w:left="0" w:hanging="0"/>
        <w:rPr>
          <w:sz w:val="24"/>
          <w:szCs w:val="24"/>
        </w:rPr>
      </w:pPr>
      <w:bookmarkStart w:id="22" w:name="__RefHeading___Toc12254_2593447515"/>
      <w:bookmarkStart w:id="23" w:name="_Toc124950355"/>
      <w:bookmarkStart w:id="24" w:name="_Toc51339695"/>
      <w:bookmarkEnd w:id="22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2.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 </w:t>
      </w:r>
      <w:bookmarkEnd w:id="24"/>
      <w:r>
        <w:rPr>
          <w:sz w:val="24"/>
          <w:szCs w:val="24"/>
          <w:lang w:val="ru-RU"/>
        </w:rPr>
        <w:t>и объем выполняемых работ</w:t>
      </w:r>
      <w:bookmarkEnd w:id="23"/>
    </w:p>
    <w:p>
      <w:pPr>
        <w:pStyle w:val="Normal"/>
        <w:spacing w:before="0" w:after="120"/>
        <w:jc w:val="both"/>
        <w:rPr>
          <w:szCs w:val="24"/>
        </w:rPr>
      </w:pPr>
      <w:r>
        <w:rPr>
          <w:szCs w:val="24"/>
        </w:rPr>
      </w:r>
    </w:p>
    <w:tbl>
      <w:tblPr>
        <w:tblW w:w="980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825"/>
        <w:gridCol w:w="5444"/>
        <w:gridCol w:w="1426"/>
        <w:gridCol w:w="2112"/>
      </w:tblGrid>
      <w:tr>
        <w:trPr/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</w:p>
          <w:p>
            <w:pPr>
              <w:pStyle w:val="Normal"/>
              <w:keepNext w:val="true"/>
              <w:widowControl w:val="false"/>
              <w:jc w:val="center"/>
              <w:rPr>
                <w:szCs w:val="24"/>
              </w:rPr>
            </w:pPr>
            <w:r>
              <w:rPr>
                <w:szCs w:val="24"/>
              </w:rPr>
              <w:t>п/п</w:t>
            </w:r>
          </w:p>
        </w:tc>
        <w:tc>
          <w:tcPr>
            <w:tcW w:w="5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Cs w:val="24"/>
              </w:rPr>
            </w:pPr>
            <w:r>
              <w:rPr>
                <w:szCs w:val="24"/>
              </w:rPr>
              <w:t>Наименование работ /этапа работ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Cs w:val="24"/>
              </w:rPr>
            </w:pPr>
            <w:r>
              <w:rPr>
                <w:szCs w:val="24"/>
              </w:rPr>
              <w:t>Единица измерения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Cs w:val="24"/>
              </w:rPr>
            </w:pPr>
            <w:r>
              <w:rPr>
                <w:szCs w:val="24"/>
              </w:rPr>
              <w:t>Количество</w:t>
            </w:r>
          </w:p>
        </w:tc>
      </w:tr>
      <w:tr>
        <w:trPr/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1</w:t>
            </w:r>
          </w:p>
        </w:tc>
        <w:tc>
          <w:tcPr>
            <w:tcW w:w="5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2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3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4</w:t>
            </w:r>
          </w:p>
        </w:tc>
      </w:tr>
      <w:tr>
        <w:trPr/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5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Cs w:val="24"/>
              </w:rPr>
            </w:pPr>
            <w:r>
              <w:rPr>
                <w:szCs w:val="24"/>
              </w:rPr>
              <w:t>Р</w:t>
            </w:r>
            <w:r>
              <w:rPr>
                <w:szCs w:val="24"/>
              </w:rPr>
              <w:t>емонт регулятора безопасности газотурбинной установки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Cs w:val="24"/>
              </w:rPr>
            </w:pPr>
            <w:r>
              <w:rPr>
                <w:iCs/>
                <w:szCs w:val="24"/>
              </w:rPr>
              <w:t>В соответствии с Техническими требованиями, с ведомостью объемов работ</w:t>
            </w:r>
          </w:p>
          <w:p>
            <w:pPr>
              <w:pStyle w:val="Normal"/>
              <w:widowControl w:val="false"/>
              <w:jc w:val="center"/>
              <w:rPr>
                <w:szCs w:val="24"/>
              </w:rPr>
            </w:pPr>
            <w:r>
              <w:rPr>
                <w:iCs/>
                <w:szCs w:val="24"/>
              </w:rPr>
              <w:t>(Приложение №1 к Техническим требованиям)</w:t>
            </w:r>
          </w:p>
        </w:tc>
      </w:tr>
    </w:tbl>
    <w:p>
      <w:pPr>
        <w:pStyle w:val="Normal"/>
        <w:spacing w:before="0" w:after="120"/>
        <w:jc w:val="both"/>
        <w:rPr>
          <w:szCs w:val="24"/>
        </w:rPr>
      </w:pPr>
      <w:r>
        <w:rPr>
          <w:szCs w:val="24"/>
        </w:rPr>
      </w:r>
    </w:p>
    <w:p>
      <w:pPr>
        <w:pStyle w:val="Heading3"/>
        <w:numPr>
          <w:ilvl w:val="2"/>
          <w:numId w:val="3"/>
        </w:numPr>
        <w:rPr/>
      </w:pPr>
      <w:bookmarkStart w:id="25" w:name="__RefHeading___Toc12256_2593447515"/>
      <w:bookmarkStart w:id="26" w:name="_Toc124950356"/>
      <w:bookmarkStart w:id="27" w:name="_Toc51339696"/>
      <w:bookmarkEnd w:id="25"/>
      <w:r>
        <w:rPr>
          <w:lang w:val="ru-RU"/>
        </w:rPr>
        <w:t xml:space="preserve">Требования </w:t>
      </w:r>
      <w:bookmarkEnd w:id="27"/>
      <w:r>
        <w:rPr>
          <w:lang w:val="ru-RU"/>
        </w:rPr>
        <w:t>к срокам выполнения работ</w:t>
      </w:r>
      <w:bookmarkEnd w:id="26"/>
    </w:p>
    <w:p>
      <w:pPr>
        <w:pStyle w:val="Heading1"/>
        <w:keepLines/>
        <w:numPr>
          <w:ilvl w:val="0"/>
          <w:numId w:val="0"/>
        </w:numPr>
        <w:spacing w:before="240" w:after="60"/>
        <w:ind w:left="0" w:hanging="0"/>
        <w:rPr>
          <w:sz w:val="24"/>
          <w:szCs w:val="24"/>
        </w:rPr>
      </w:pPr>
      <w:bookmarkStart w:id="28" w:name="__RefHeading___Toc12258_2593447515"/>
      <w:bookmarkStart w:id="29" w:name="_Toc124950357"/>
      <w:bookmarkStart w:id="30" w:name="_Toc51339697"/>
      <w:bookmarkStart w:id="31" w:name="_Toc50125127"/>
      <w:bookmarkEnd w:id="28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 xml:space="preserve">. </w:t>
      </w:r>
      <w:bookmarkStart w:id="32" w:name="_Hlk50465284"/>
      <w:r>
        <w:rPr>
          <w:sz w:val="24"/>
          <w:szCs w:val="24"/>
        </w:rPr>
        <w:t xml:space="preserve">Требования по срокам </w:t>
      </w:r>
      <w:bookmarkEnd w:id="30"/>
      <w:bookmarkEnd w:id="31"/>
      <w:bookmarkEnd w:id="32"/>
      <w:r>
        <w:rPr>
          <w:sz w:val="24"/>
          <w:szCs w:val="24"/>
          <w:lang w:val="ru-RU"/>
        </w:rPr>
        <w:t>выполнения работ</w:t>
      </w:r>
      <w:bookmarkEnd w:id="29"/>
    </w:p>
    <w:p>
      <w:pPr>
        <w:pStyle w:val="Normal"/>
        <w:keepNext w:val="true"/>
        <w:keepLines/>
        <w:numPr>
          <w:ilvl w:val="0"/>
          <w:numId w:val="0"/>
        </w:numPr>
        <w:spacing w:before="240" w:after="60"/>
        <w:ind w:left="0" w:hanging="0"/>
        <w:outlineLvl w:val="0"/>
        <w:rPr>
          <w:rFonts w:eastAsia="Calibri"/>
          <w:b/>
          <w:szCs w:val="24"/>
          <w:lang w:eastAsia="x-none"/>
        </w:rPr>
      </w:pPr>
      <w:r>
        <w:rPr>
          <w:rFonts w:eastAsia="Calibri"/>
          <w:b/>
          <w:szCs w:val="24"/>
          <w:lang w:eastAsia="x-none"/>
        </w:rPr>
      </w:r>
    </w:p>
    <w:tbl>
      <w:tblPr>
        <w:tblW w:w="977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134"/>
        <w:gridCol w:w="2546"/>
        <w:gridCol w:w="2984"/>
        <w:gridCol w:w="3111"/>
      </w:tblGrid>
      <w:tr>
        <w:trPr>
          <w:trHeight w:val="1011" w:hRule="atLeast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№ </w:t>
            </w:r>
            <w:r>
              <w:rPr>
                <w:szCs w:val="24"/>
              </w:rPr>
              <w:t>п/п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Cs w:val="24"/>
              </w:rPr>
            </w:pPr>
            <w:r>
              <w:rPr>
                <w:szCs w:val="24"/>
              </w:rPr>
              <w:t>Наименование этапа работ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Cs w:val="24"/>
              </w:rPr>
            </w:pPr>
            <w:r>
              <w:rPr>
                <w:szCs w:val="24"/>
              </w:rPr>
              <w:t>Требования к началу срока выполнения этапа работ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Cs w:val="24"/>
              </w:rPr>
            </w:pPr>
            <w:r>
              <w:rPr>
                <w:szCs w:val="24"/>
              </w:rPr>
              <w:t>Требования к окончанию срока выполнения этапа работ</w:t>
            </w:r>
          </w:p>
        </w:tc>
      </w:tr>
      <w:tr>
        <w:trPr/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1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2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1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31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>
          <w:trHeight w:val="761" w:hRule="atLeast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ind w:left="310" w:hanging="277"/>
              <w:jc w:val="center"/>
              <w:rPr/>
            </w:pPr>
            <w:r>
              <w:rPr/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>
                <w:szCs w:val="24"/>
              </w:rPr>
            </w:pPr>
            <w:r>
              <w:rPr>
                <w:szCs w:val="24"/>
              </w:rPr>
              <w:t>Р</w:t>
            </w:r>
            <w:r>
              <w:rPr>
                <w:szCs w:val="24"/>
              </w:rPr>
              <w:t>емонт регулятора безопасности газотурбинной установки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Cs w:val="24"/>
              </w:rPr>
            </w:pPr>
            <w:r>
              <w:rPr/>
              <w:t>С даты подписания Договора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не позднее </w:t>
            </w:r>
            <w:r>
              <w:rPr>
                <w:szCs w:val="24"/>
              </w:rPr>
              <w:t>01</w:t>
            </w:r>
            <w:r>
              <w:rPr>
                <w:szCs w:val="24"/>
              </w:rPr>
              <w:t>.0</w:t>
            </w:r>
            <w:r>
              <w:rPr>
                <w:szCs w:val="24"/>
              </w:rPr>
              <w:t>7</w:t>
            </w:r>
            <w:r>
              <w:rPr>
                <w:szCs w:val="24"/>
              </w:rPr>
              <w:t>.2027</w:t>
            </w:r>
          </w:p>
        </w:tc>
      </w:tr>
    </w:tbl>
    <w:p>
      <w:pPr>
        <w:sectPr>
          <w:headerReference w:type="even" r:id="rId2"/>
          <w:headerReference w:type="default" r:id="rId3"/>
          <w:headerReference w:type="first" r:id="rId4"/>
          <w:type w:val="nextPage"/>
          <w:pgSz w:w="11906" w:h="16838"/>
          <w:pgMar w:left="1134" w:right="851" w:gutter="0" w:header="680" w:top="1134" w:footer="0" w:bottom="992"/>
          <w:pgNumType w:fmt="decimal"/>
          <w:formProt w:val="false"/>
          <w:titlePg/>
          <w:textDirection w:val="lrTb"/>
          <w:docGrid w:type="default" w:linePitch="360" w:charSpace="0"/>
        </w:sectPr>
      </w:pPr>
    </w:p>
    <w:p>
      <w:pPr>
        <w:pStyle w:val="Heading4"/>
        <w:numPr>
          <w:ilvl w:val="1"/>
          <w:numId w:val="3"/>
        </w:numPr>
        <w:rPr/>
      </w:pPr>
      <w:bookmarkStart w:id="33" w:name="__RefHeading___Toc12260_2593447515"/>
      <w:bookmarkStart w:id="34" w:name="_Toc124950358"/>
      <w:bookmarkEnd w:id="33"/>
      <w:r>
        <w:rPr/>
        <w:t xml:space="preserve">Требования к </w:t>
      </w:r>
      <w:r>
        <w:rPr>
          <w:lang w:val="ru-RU"/>
        </w:rPr>
        <w:t>качеству работ</w:t>
      </w:r>
      <w:bookmarkEnd w:id="34"/>
    </w:p>
    <w:p>
      <w:pPr>
        <w:pStyle w:val="Heading1"/>
        <w:keepLines/>
        <w:numPr>
          <w:ilvl w:val="0"/>
          <w:numId w:val="0"/>
        </w:numPr>
        <w:spacing w:before="240" w:after="60"/>
        <w:ind w:left="0" w:hanging="0"/>
        <w:rPr>
          <w:sz w:val="24"/>
          <w:szCs w:val="24"/>
        </w:rPr>
      </w:pPr>
      <w:bookmarkStart w:id="35" w:name="__RefHeading___Toc12262_2593447515"/>
      <w:bookmarkStart w:id="36" w:name="_Toc124950359"/>
      <w:bookmarkStart w:id="37" w:name="_Toc51339698"/>
      <w:bookmarkStart w:id="38" w:name="_Toc50125131"/>
      <w:bookmarkEnd w:id="35"/>
      <w:r>
        <w:rPr>
          <w:sz w:val="24"/>
          <w:szCs w:val="24"/>
        </w:rPr>
        <w:t xml:space="preserve">Таблица 4. Требования к </w:t>
      </w:r>
      <w:bookmarkEnd w:id="37"/>
      <w:bookmarkEnd w:id="38"/>
      <w:r>
        <w:rPr>
          <w:sz w:val="24"/>
          <w:szCs w:val="24"/>
          <w:lang w:val="ru-RU"/>
        </w:rPr>
        <w:t>качеству работ</w:t>
      </w:r>
      <w:bookmarkEnd w:id="36"/>
      <w:r>
        <w:rPr>
          <w:sz w:val="24"/>
          <w:szCs w:val="24"/>
        </w:rPr>
        <w:t xml:space="preserve"> </w:t>
      </w:r>
    </w:p>
    <w:p>
      <w:pPr>
        <w:pStyle w:val="Normal"/>
        <w:jc w:val="both"/>
        <w:rPr>
          <w:szCs w:val="24"/>
        </w:rPr>
      </w:pPr>
      <w:r>
        <w:rPr>
          <w:b/>
          <w:bCs/>
          <w:szCs w:val="24"/>
        </w:rPr>
        <w:t>Наименование работ/этапа работ (Таблицы 2):</w:t>
      </w:r>
      <w:r>
        <w:rPr>
          <w:szCs w:val="24"/>
        </w:rPr>
        <w:t xml:space="preserve"> Ремонт регулятора безопасности газотурбинной установки.</w:t>
      </w:r>
    </w:p>
    <w:p>
      <w:pPr>
        <w:pStyle w:val="Normal"/>
        <w:snapToGrid w:val="false"/>
        <w:spacing w:before="0" w:after="120"/>
        <w:rPr>
          <w:iCs/>
          <w:szCs w:val="24"/>
        </w:rPr>
      </w:pPr>
      <w:r>
        <w:rPr>
          <w:iCs/>
          <w:szCs w:val="24"/>
        </w:rPr>
      </w:r>
    </w:p>
    <w:tbl>
      <w:tblPr>
        <w:tblStyle w:val="affffb"/>
        <w:tblW w:w="15593" w:type="dxa"/>
        <w:jc w:val="left"/>
        <w:tblInd w:w="-1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93"/>
        <w:gridCol w:w="3825"/>
        <w:gridCol w:w="6806"/>
        <w:gridCol w:w="1984"/>
        <w:gridCol w:w="1985"/>
      </w:tblGrid>
      <w:tr>
        <w:trPr/>
        <w:tc>
          <w:tcPr>
            <w:tcW w:w="993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bCs/>
                <w:kern w:val="0"/>
                <w:szCs w:val="24"/>
                <w:lang w:val="ru-RU" w:eastAsia="ru-RU" w:bidi="ar-SA"/>
              </w:rPr>
              <w:t>п/п</w:t>
            </w:r>
          </w:p>
        </w:tc>
        <w:tc>
          <w:tcPr>
            <w:tcW w:w="3825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Cs w:val="24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6806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Cs w:val="24"/>
                <w:lang w:val="ru-RU" w:eastAsia="ru-RU" w:bidi="ar-SA"/>
              </w:rPr>
              <w:t>Требование заказчика</w:t>
            </w:r>
          </w:p>
        </w:tc>
        <w:tc>
          <w:tcPr>
            <w:tcW w:w="396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Cs w:val="24"/>
                <w:lang w:val="ru-RU" w:eastAsia="ru-RU" w:bidi="ar-SA"/>
              </w:rPr>
              <w:t>Способ подтверждения участником соответствия требованиям</w:t>
            </w:r>
          </w:p>
        </w:tc>
      </w:tr>
      <w:tr>
        <w:trPr>
          <w:trHeight w:val="1285" w:hRule="atLeast"/>
        </w:trPr>
        <w:tc>
          <w:tcPr>
            <w:tcW w:w="993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</w:r>
          </w:p>
        </w:tc>
        <w:tc>
          <w:tcPr>
            <w:tcW w:w="3825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</w:r>
          </w:p>
        </w:tc>
        <w:tc>
          <w:tcPr>
            <w:tcW w:w="6806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</w:r>
          </w:p>
        </w:tc>
        <w:tc>
          <w:tcPr>
            <w:tcW w:w="19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Cs w:val="24"/>
                <w:lang w:val="ru-RU" w:eastAsia="ru-RU" w:bidi="ar-SA"/>
              </w:rPr>
              <w:t>Согласие с требованием/ указание характеристик</w:t>
            </w:r>
          </w:p>
        </w:tc>
        <w:tc>
          <w:tcPr>
            <w:tcW w:w="19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Cs w:val="24"/>
                <w:lang w:val="ru-RU" w:eastAsia="ru-RU" w:bidi="ar-SA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99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1</w:t>
            </w:r>
          </w:p>
        </w:tc>
        <w:tc>
          <w:tcPr>
            <w:tcW w:w="38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2</w:t>
            </w:r>
          </w:p>
        </w:tc>
        <w:tc>
          <w:tcPr>
            <w:tcW w:w="680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3</w:t>
            </w:r>
          </w:p>
        </w:tc>
        <w:tc>
          <w:tcPr>
            <w:tcW w:w="198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4</w:t>
            </w:r>
          </w:p>
        </w:tc>
        <w:tc>
          <w:tcPr>
            <w:tcW w:w="19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5</w:t>
            </w:r>
          </w:p>
        </w:tc>
      </w:tr>
      <w:tr>
        <w:trPr/>
        <w:tc>
          <w:tcPr>
            <w:tcW w:w="99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spacing w:before="60" w:after="60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1063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 xml:space="preserve">Требования к выполнению работ </w:t>
            </w:r>
          </w:p>
        </w:tc>
        <w:tc>
          <w:tcPr>
            <w:tcW w:w="1984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-//-</w:t>
            </w:r>
          </w:p>
        </w:tc>
        <w:tc>
          <w:tcPr>
            <w:tcW w:w="198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9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9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1063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Общие требования к выполнению работ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</w:r>
          </w:p>
        </w:tc>
      </w:tr>
      <w:tr>
        <w:trPr/>
        <w:tc>
          <w:tcPr>
            <w:tcW w:w="99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ind w:left="27" w:hanging="8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1.1.1</w:t>
            </w:r>
          </w:p>
        </w:tc>
        <w:tc>
          <w:tcPr>
            <w:tcW w:w="382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Перечень выполняемых работ</w:t>
            </w:r>
          </w:p>
        </w:tc>
        <w:tc>
          <w:tcPr>
            <w:tcW w:w="6806" w:type="dxa"/>
            <w:tcBorders/>
            <w:shd w:color="auto" w:fill="auto" w:val="clear"/>
            <w:vAlign w:val="center"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/>
            </w:r>
          </w:p>
          <w:p>
            <w:pPr>
              <w:pStyle w:val="NoSpacing"/>
              <w:widowControl w:val="false"/>
              <w:numPr>
                <w:ilvl w:val="0"/>
                <w:numId w:val="11"/>
              </w:numPr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Согласно Ведомости объемов работ (Приложение №1 к ТТ)</w:t>
            </w:r>
          </w:p>
          <w:p>
            <w:pPr>
              <w:pStyle w:val="NoSpacing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Транспортировочные расходы и расходы по упаковке включены в стоимость сметы.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310" w:hanging="0"/>
              <w:contextualSpacing/>
              <w:jc w:val="both"/>
              <w:rPr>
                <w:rFonts w:eastAsia="Times New Roman"/>
                <w:iCs/>
              </w:rPr>
            </w:pPr>
            <w:r>
              <w:rPr>
                <w:rFonts w:eastAsia="Times New Roman"/>
                <w:iCs/>
              </w:rPr>
            </w:r>
          </w:p>
        </w:tc>
        <w:tc>
          <w:tcPr>
            <w:tcW w:w="1984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Согласие</w:t>
            </w:r>
            <w:r>
              <w:rPr>
                <w:rFonts w:eastAsia="Times New Roman" w:cs="Times New Roman"/>
                <w:kern w:val="0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с требованием</w:t>
            </w:r>
          </w:p>
        </w:tc>
        <w:tc>
          <w:tcPr>
            <w:tcW w:w="198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-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b/>
                <w:szCs w:val="24"/>
                <w:lang w:eastAsia="x-none"/>
              </w:rPr>
            </w:pPr>
            <w:r>
              <w:rPr>
                <w:rFonts w:eastAsia="Calibri"/>
                <w:b/>
                <w:szCs w:val="24"/>
                <w:lang w:eastAsia="x-none"/>
              </w:rPr>
            </w:r>
          </w:p>
        </w:tc>
      </w:tr>
      <w:tr>
        <w:trPr/>
        <w:tc>
          <w:tcPr>
            <w:tcW w:w="99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ind w:left="27" w:hanging="8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1.1.2.</w:t>
            </w:r>
          </w:p>
        </w:tc>
        <w:tc>
          <w:tcPr>
            <w:tcW w:w="382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Соблюдение при выполнении работ норм и правил нормативно-технических документов</w:t>
            </w:r>
          </w:p>
        </w:tc>
        <w:tc>
          <w:tcPr>
            <w:tcW w:w="680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Cs w:val="24"/>
                <w:lang w:val="ru-RU" w:eastAsia="ru-RU" w:bidi="ar-SA"/>
              </w:rPr>
              <w:t>При оказании работ исполнитель должен руководствоваться следующими национальными, отраслевыми и корпоративными нормативно-техническими документами (НТД):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suppressAutoHyphens w:val="true"/>
              <w:spacing w:before="0" w:after="0"/>
              <w:ind w:left="310" w:hanging="283"/>
              <w:contextualSpacing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iCs/>
                <w:kern w:val="0"/>
                <w:lang w:val="ru-RU" w:eastAsia="ru-RU" w:bidi="ar-SA"/>
              </w:rPr>
              <w:t>Федеральный закон от 21.12.94 №69-ФЗ «О пожарной безопасности»;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suppressAutoHyphens w:val="true"/>
              <w:spacing w:before="0" w:after="0"/>
              <w:ind w:left="310" w:hanging="283"/>
              <w:contextualSpacing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iCs/>
                <w:kern w:val="0"/>
                <w:lang w:val="ru-RU" w:eastAsia="ru-RU" w:bidi="ar-SA"/>
              </w:rPr>
              <w:t>Федеральный закон от 22.07.08 № 123-ФЗ «Технический регламент о требованиях пожарной безопасности»;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suppressAutoHyphens w:val="true"/>
              <w:spacing w:before="0" w:after="0"/>
              <w:ind w:left="310" w:hanging="283"/>
              <w:contextualSpacing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iCs/>
                <w:kern w:val="0"/>
                <w:lang w:val="ru-RU" w:eastAsia="ru-RU" w:bidi="ar-SA"/>
              </w:rPr>
              <w:t>Правилами технической эксплуатации электрических станций и сетей Российской Федерации. (утв. приказом Минэнерго РФ от 19.06.2003 №229);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suppressAutoHyphens w:val="true"/>
              <w:spacing w:before="0" w:after="0"/>
              <w:ind w:left="310" w:hanging="283"/>
              <w:contextualSpacing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Arial Unicode MS" w:cs="Times New Roman"/>
                <w:kern w:val="0"/>
                <w:lang w:val="ru-RU" w:eastAsia="ru-RU" w:bidi="ar-SA"/>
              </w:rPr>
              <w:t>Правилами организации технического обслуживания и ремонта оборудования, зданий и сооружений электростанций и сетей» СО 34.04.181-2003;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Cs w:val="24"/>
              </w:rPr>
            </w:pPr>
            <w:r>
              <w:rPr>
                <w:rFonts w:eastAsia="Arial Unicode MS" w:cs="Times New Roman"/>
                <w:kern w:val="0"/>
                <w:szCs w:val="24"/>
                <w:lang w:val="ru-RU" w:eastAsia="ru-RU" w:bidi="ar-SA"/>
              </w:rPr>
              <w:t>Регламентом «Допуска подрядных организаций и командированного персонала на объекты ПАО «Якутскэнерго».</w:t>
            </w:r>
          </w:p>
        </w:tc>
        <w:tc>
          <w:tcPr>
            <w:tcW w:w="1984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</w:r>
          </w:p>
        </w:tc>
        <w:tc>
          <w:tcPr>
            <w:tcW w:w="198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Cs w:val="24"/>
              </w:rPr>
            </w:pPr>
            <w:r>
              <w:rPr>
                <w:szCs w:val="24"/>
              </w:rPr>
            </w:r>
          </w:p>
        </w:tc>
      </w:tr>
      <w:tr>
        <w:trPr/>
        <w:tc>
          <w:tcPr>
            <w:tcW w:w="99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ind w:left="27" w:hanging="8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1.1.3.</w:t>
            </w:r>
          </w:p>
        </w:tc>
        <w:tc>
          <w:tcPr>
            <w:tcW w:w="382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Cs w:val="24"/>
                <w:lang w:val="ru-RU" w:eastAsia="ru-RU" w:bidi="ar-SA"/>
              </w:rPr>
              <w:t>Контроль и качество работ</w:t>
            </w:r>
          </w:p>
        </w:tc>
        <w:tc>
          <w:tcPr>
            <w:tcW w:w="6806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Контроль за ходом работ и их качеством осуществляется Подрядчиком и Заказчиком. Заказчик обязуется назначить куратора и обеспечить допуск персонала подрядчика на объект согласно «Правилам по охране труда при эксплуатации электроустановок» (Приказ Министерства труда и социальной защиты РФ от 15.12.2020 г. № 903н).</w:t>
            </w:r>
          </w:p>
          <w:p>
            <w:pPr>
              <w:pStyle w:val="NoSpacing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Недостатки работ, обнаруженные в ходе сдачи или выявленные в период гарантийной эксплуатации объекта, фиксируются в соответствующем акте, подписываемом представителями Заказчика и Подрядчик, с указанием срока и порядка их устранения.</w:t>
            </w:r>
          </w:p>
        </w:tc>
        <w:tc>
          <w:tcPr>
            <w:tcW w:w="1984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Согласие</w:t>
            </w:r>
            <w:r>
              <w:rPr>
                <w:rFonts w:eastAsia="Times New Roman" w:cs="Times New Roman"/>
                <w:kern w:val="0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с требованием</w:t>
            </w:r>
          </w:p>
        </w:tc>
        <w:tc>
          <w:tcPr>
            <w:tcW w:w="198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-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b/>
                <w:szCs w:val="24"/>
                <w:lang w:eastAsia="x-none"/>
              </w:rPr>
            </w:pPr>
            <w:r>
              <w:rPr>
                <w:rFonts w:eastAsia="Calibri"/>
                <w:b/>
                <w:szCs w:val="24"/>
                <w:lang w:eastAsia="x-none"/>
              </w:rPr>
            </w:r>
          </w:p>
        </w:tc>
      </w:tr>
      <w:tr>
        <w:trPr/>
        <w:tc>
          <w:tcPr>
            <w:tcW w:w="99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9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1063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Требования к организации работ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-//-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9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9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382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Cs w:val="24"/>
                <w:lang w:val="ru-RU" w:eastAsia="ru-RU" w:bidi="ar-SA"/>
              </w:rPr>
              <w:t>Организационно-технические мероприятия по допуску персонала подрядчика</w:t>
            </w:r>
          </w:p>
        </w:tc>
        <w:tc>
          <w:tcPr>
            <w:tcW w:w="6806" w:type="dxa"/>
            <w:tcBorders/>
          </w:tcPr>
          <w:p>
            <w:pPr>
              <w:pStyle w:val="NoSpacing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iCs/>
                <w:kern w:val="0"/>
                <w:lang w:val="ru-RU" w:eastAsia="ru-RU" w:bidi="ar-SA"/>
              </w:rPr>
              <w:t>Работа будет производиться на территории Подрядчика в заводских условиях.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Согласие</w:t>
            </w:r>
            <w:r>
              <w:rPr>
                <w:rFonts w:eastAsia="Times New Roman" w:cs="Times New Roman"/>
                <w:kern w:val="0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с требованием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-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b/>
                <w:szCs w:val="24"/>
                <w:lang w:eastAsia="x-none"/>
              </w:rPr>
            </w:pPr>
            <w:r>
              <w:rPr>
                <w:rFonts w:eastAsia="Calibri"/>
                <w:b/>
                <w:szCs w:val="24"/>
                <w:lang w:eastAsia="x-none"/>
              </w:rPr>
            </w:r>
          </w:p>
        </w:tc>
      </w:tr>
      <w:tr>
        <w:trPr/>
        <w:tc>
          <w:tcPr>
            <w:tcW w:w="99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9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382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Cs w:val="24"/>
                <w:lang w:val="ru-RU" w:eastAsia="ru-RU" w:bidi="ar-SA"/>
              </w:rPr>
              <w:t>Требование пропускному режиму</w:t>
            </w:r>
          </w:p>
        </w:tc>
        <w:tc>
          <w:tcPr>
            <w:tcW w:w="6806" w:type="dxa"/>
            <w:tcBorders/>
          </w:tcPr>
          <w:p>
            <w:pPr>
              <w:pStyle w:val="NoSpacing"/>
              <w:widowControl w:val="false"/>
              <w:suppressAutoHyphens w:val="true"/>
              <w:spacing w:lineRule="auto" w:line="240" w:before="0" w:after="0"/>
              <w:jc w:val="both"/>
              <w:rPr/>
            </w:pPr>
            <w:r>
              <w:rPr>
                <w:rStyle w:val="Hyperlink"/>
                <w:rFonts w:cs="Times New Roman"/>
                <w:iCs/>
                <w:color w:val="000000"/>
                <w:kern w:val="0"/>
                <w:u w:val="none"/>
                <w:lang w:val="ru-RU" w:eastAsia="ru-RU" w:bidi="ar-SA"/>
              </w:rPr>
              <w:t>Работа будет производиться на территории Подрядчика в заводских условиях.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Cs w:val="24"/>
              </w:rPr>
            </w:pPr>
            <w:r>
              <w:rPr>
                <w:szCs w:val="24"/>
              </w:rPr>
            </w:r>
          </w:p>
        </w:tc>
      </w:tr>
      <w:tr>
        <w:trPr/>
        <w:tc>
          <w:tcPr>
            <w:tcW w:w="99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9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382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Cs w:val="24"/>
                <w:lang w:val="ru-RU" w:eastAsia="ru-RU" w:bidi="ar-SA"/>
              </w:rPr>
              <w:t>Требование к информационной безопасности</w:t>
            </w:r>
          </w:p>
        </w:tc>
        <w:tc>
          <w:tcPr>
            <w:tcW w:w="680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Style w:val="Hyperlink"/>
                <w:rFonts w:eastAsia="Times New Roman" w:cs="Times New Roman"/>
                <w:iCs/>
                <w:color w:val="auto"/>
                <w:kern w:val="0"/>
                <w:szCs w:val="24"/>
                <w:u w:val="none"/>
                <w:lang w:val="ru-RU" w:eastAsia="ru-RU" w:bidi="ar-SA"/>
              </w:rPr>
              <w:t>СТО-00-022.01-22 ПАО «Якутскэнерго» «Политика информационной безопасности ПАО «Якутскэнерго» (</w:t>
            </w:r>
            <w:hyperlink r:id="rId5">
              <w:r>
                <w:rPr>
                  <w:rStyle w:val="Hyperlink"/>
                  <w:rFonts w:eastAsia="Times New Roman" w:cs="Times New Roman"/>
                  <w:iCs/>
                  <w:color w:val="auto"/>
                  <w:kern w:val="0"/>
                  <w:szCs w:val="24"/>
                  <w:u w:val="none"/>
                  <w:lang w:val="ru-RU" w:eastAsia="ru-RU" w:bidi="ar-SA"/>
                </w:rPr>
                <w:t>https://corp.yakutskenergo.ru/documents/files/STO-00-022.01-22-20221226155059.pdf</w:t>
              </w:r>
            </w:hyperlink>
            <w:r>
              <w:rPr>
                <w:rStyle w:val="Hyperlink"/>
                <w:rFonts w:eastAsia="Times New Roman" w:cs="Times New Roman"/>
                <w:iCs/>
                <w:color w:val="auto"/>
                <w:kern w:val="0"/>
                <w:szCs w:val="24"/>
                <w:u w:val="none"/>
                <w:lang w:val="ru-RU" w:eastAsia="ru-RU" w:bidi="ar-SA"/>
              </w:rPr>
              <w:t>)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Согласие</w:t>
            </w:r>
            <w:r>
              <w:rPr>
                <w:rFonts w:eastAsia="Times New Roman" w:cs="Times New Roman"/>
                <w:kern w:val="0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с требованием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-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Cs w:val="24"/>
              </w:rPr>
            </w:pPr>
            <w:r>
              <w:rPr>
                <w:szCs w:val="24"/>
              </w:rPr>
            </w:r>
          </w:p>
        </w:tc>
      </w:tr>
      <w:tr>
        <w:trPr/>
        <w:tc>
          <w:tcPr>
            <w:tcW w:w="99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9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1063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Требования к применяемым при выполнении работ оборудованию, материалам, технологиям, программно-аппаратным средствам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-//-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9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9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382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Cs w:val="24"/>
                <w:lang w:val="ru-RU" w:eastAsia="ru-RU" w:bidi="ar-SA"/>
              </w:rPr>
              <w:t>Требования к используемым материалам оборудованиям и устройствам</w:t>
            </w:r>
          </w:p>
        </w:tc>
        <w:tc>
          <w:tcPr>
            <w:tcW w:w="6806" w:type="dxa"/>
            <w:tcBorders/>
          </w:tcPr>
          <w:p>
            <w:pPr>
              <w:pStyle w:val="NoSpacing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Заказ и поставку материалов и оборудования для строительства в полном объёме осуществляет Подрядчик. </w:t>
            </w:r>
          </w:p>
          <w:p>
            <w:pPr>
              <w:pStyle w:val="NoSpacing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Гарантия на МТР и оборудование, поставляемые Подрядчиком, составляет срок, составляющий не менее гарантийного срока установленным заводом изготовителем с даты подписания акта КС-2.</w:t>
            </w:r>
          </w:p>
          <w:p>
            <w:pPr>
              <w:pStyle w:val="NoSpacing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Все применяемые материалы и изделия должны иметь соответствующие сертификаты, технические паспорта и другие документы, удостоверяющие их качество, должны быть новыми, не должны быть ранее использованными.</w:t>
            </w:r>
          </w:p>
          <w:p>
            <w:pPr>
              <w:pStyle w:val="NoSpacing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Применение эквивалентных материалов допустимо только при согласовании с Заказчиком и проведении в случае необходимости лабораторных исследований по данным материалам, которые проводятся за счет Подрядчика, без увеличения сметной стоимости.</w:t>
            </w:r>
          </w:p>
          <w:p>
            <w:pPr>
              <w:pStyle w:val="NoSpacing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Предложения по применению материалов, оборудования конструкций и комплектующих эквивалентов могут быть предоставлены Подрядчиком в адрес Заказчика, в течении 5 рабочих дней с даты выдачи «в производство работ» рабочей документации.</w:t>
            </w:r>
          </w:p>
          <w:p>
            <w:pPr>
              <w:pStyle w:val="NoSpacing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В случае, если применение Подрядчиком эквивалентных материалов будет согласовано и потребует внесения изменений в проектную/рабочую документацию, такие изменения также производятся за счет Подрядчика.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Согласие</w:t>
            </w:r>
            <w:r>
              <w:rPr>
                <w:rFonts w:eastAsia="Times New Roman" w:cs="Times New Roman"/>
                <w:kern w:val="0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с требованием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-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b/>
                <w:szCs w:val="24"/>
                <w:lang w:eastAsia="x-none"/>
              </w:rPr>
            </w:pPr>
            <w:r>
              <w:rPr>
                <w:rFonts w:eastAsia="Calibri"/>
                <w:b/>
                <w:szCs w:val="24"/>
                <w:lang w:eastAsia="x-none"/>
              </w:rPr>
            </w:r>
          </w:p>
        </w:tc>
      </w:tr>
      <w:tr>
        <w:trPr/>
        <w:tc>
          <w:tcPr>
            <w:tcW w:w="99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9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1063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Требования к контролю качества работ и материалов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-//-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9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9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382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Cs w:val="24"/>
                <w:lang w:val="ru-RU" w:eastAsia="ru-RU" w:bidi="ar-SA"/>
              </w:rPr>
              <w:t>Контроль качества используемых запасных частей и материалов</w:t>
            </w:r>
          </w:p>
        </w:tc>
        <w:tc>
          <w:tcPr>
            <w:tcW w:w="680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Cs w:val="24"/>
                <w:lang w:val="ru-RU" w:eastAsia="ru-RU" w:bidi="ar-SA"/>
              </w:rPr>
              <w:t>Подрядчик должен обеспечить входной контроль поступающих материалов и запасных частей, включающий в себя проверку: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suppressAutoHyphens w:val="true"/>
              <w:spacing w:before="0" w:after="0"/>
              <w:ind w:left="170" w:hanging="170"/>
              <w:contextualSpacing w:val="false"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iCs/>
                <w:kern w:val="0"/>
                <w:lang w:val="ru-RU" w:eastAsia="ru-RU" w:bidi="ar-SA"/>
              </w:rPr>
              <w:t>наличия соответствующих сертификатов в соответствии с требованиями постановления Правительства Российской Федерации от 01.12.2009 N 982 (ред. от 21.02.2018) «Об утверждении единого перечня продукции, подлежащей обязательной сертификации»;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suppressAutoHyphens w:val="true"/>
              <w:spacing w:before="0" w:after="0"/>
              <w:ind w:left="170" w:hanging="170"/>
              <w:contextualSpacing w:val="false"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iCs/>
                <w:kern w:val="0"/>
                <w:lang w:val="ru-RU" w:eastAsia="ru-RU" w:bidi="ar-SA"/>
              </w:rPr>
              <w:t>наличия и надлежащего заполнения документа о качестве и соответствии приведенных в нем данных характеристикам, установленным в нормативном документе, регламентирующем технические требования к данной продукции;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suppressAutoHyphens w:val="true"/>
              <w:spacing w:before="0" w:after="0"/>
              <w:ind w:left="170" w:hanging="170"/>
              <w:contextualSpacing w:val="false"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iCs/>
                <w:kern w:val="0"/>
                <w:lang w:val="ru-RU" w:eastAsia="ru-RU" w:bidi="ar-SA"/>
              </w:rPr>
              <w:t>наличия маркировки, сохранности упаковки, наличия и сохранности защитных и окрасочных покрытий и т.п.;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suppressAutoHyphens w:val="true"/>
              <w:spacing w:before="0" w:after="0"/>
              <w:ind w:left="170" w:hanging="170"/>
              <w:contextualSpacing w:val="false"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iCs/>
                <w:kern w:val="0"/>
                <w:lang w:val="ru-RU" w:eastAsia="ru-RU" w:bidi="ar-SA"/>
              </w:rPr>
              <w:t>комплектности поставляемых материалов.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Согласие</w:t>
            </w:r>
            <w:r>
              <w:rPr>
                <w:rFonts w:eastAsia="Times New Roman" w:cs="Times New Roman"/>
                <w:kern w:val="0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с требованием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b/>
                <w:szCs w:val="24"/>
                <w:lang w:eastAsia="x-none"/>
              </w:rPr>
            </w:pPr>
            <w:r>
              <w:rPr>
                <w:rFonts w:eastAsia="Calibri"/>
                <w:b/>
                <w:szCs w:val="24"/>
                <w:lang w:eastAsia="x-none"/>
              </w:rPr>
            </w:r>
          </w:p>
        </w:tc>
      </w:tr>
      <w:tr>
        <w:trPr/>
        <w:tc>
          <w:tcPr>
            <w:tcW w:w="993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9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3825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Контроль качества работ</w:t>
            </w:r>
          </w:p>
        </w:tc>
        <w:tc>
          <w:tcPr>
            <w:tcW w:w="680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60"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 xml:space="preserve">Подрядчик гарантирует высокое качество и надежную последующую эксплуатацию объекта в соответствии с положениями технических регламентов, действующих на территории Российской Федерации и </w:t>
            </w:r>
            <w:r>
              <w:rPr>
                <w:rFonts w:eastAsia="Lucida Sans Unicode" w:cs="Times New Roman"/>
                <w:kern w:val="2"/>
                <w:szCs w:val="24"/>
                <w:lang w:val="ru-RU" w:eastAsia="hi-IN" w:bidi="hi-IN"/>
              </w:rPr>
              <w:t>соответствовать требованиям, предъявляемым к работам соответствующего рода.</w:t>
            </w:r>
          </w:p>
        </w:tc>
        <w:tc>
          <w:tcPr>
            <w:tcW w:w="198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Согласие</w:t>
            </w:r>
            <w:r>
              <w:rPr>
                <w:rFonts w:eastAsia="Times New Roman" w:cs="Times New Roman"/>
                <w:kern w:val="0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с требованием</w:t>
            </w:r>
          </w:p>
        </w:tc>
        <w:tc>
          <w:tcPr>
            <w:tcW w:w="198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-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b/>
                <w:szCs w:val="24"/>
                <w:lang w:eastAsia="x-none"/>
              </w:rPr>
            </w:pPr>
            <w:r>
              <w:rPr>
                <w:rFonts w:eastAsia="Calibri"/>
                <w:b/>
                <w:szCs w:val="24"/>
                <w:lang w:eastAsia="x-none"/>
              </w:rPr>
            </w:r>
          </w:p>
        </w:tc>
      </w:tr>
      <w:tr>
        <w:trPr/>
        <w:tc>
          <w:tcPr>
            <w:tcW w:w="99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9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10631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Требования к персоналу подрядчика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-//-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9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9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382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Cs w:val="24"/>
                <w:lang w:val="ru-RU" w:eastAsia="ru-RU" w:bidi="ar-SA"/>
              </w:rPr>
              <w:t>Квалификация персонала подрядчика, привлекаемого к выполнению работ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</w:r>
          </w:p>
        </w:tc>
        <w:tc>
          <w:tcPr>
            <w:tcW w:w="680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iCs/>
                <w:kern w:val="0"/>
                <w:szCs w:val="24"/>
                <w:lang w:val="ru-RU" w:eastAsia="ru-RU" w:bidi="ar-SA"/>
              </w:rPr>
              <w:t>Для проведения ремонтных работ требуется наличие следующего персонала: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iCs/>
                <w:kern w:val="0"/>
                <w:szCs w:val="24"/>
                <w:lang w:val="ru-RU" w:eastAsia="ru-RU" w:bidi="ar-SA"/>
              </w:rPr>
              <w:t>1. Слесарь по ремонту паро-газотурбинного оборудования 5-го разряда привлекаемого к – не менее 2-х человек;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iCs/>
                <w:kern w:val="0"/>
                <w:szCs w:val="24"/>
                <w:lang w:val="ru-RU" w:eastAsia="ru-RU" w:bidi="ar-SA"/>
              </w:rPr>
              <w:t>2</w:t>
            </w:r>
            <w:r>
              <w:rPr>
                <w:rFonts w:eastAsia="Times New Roman" w:cs="Times New Roman"/>
                <w:bCs/>
                <w:iCs/>
                <w:kern w:val="0"/>
                <w:szCs w:val="24"/>
                <w:lang w:val="ru-RU" w:eastAsia="ru-RU" w:bidi="ar-SA"/>
              </w:rPr>
              <w:t>. Руководитель работ (специалист по восстановлению узлов и деталей паро-газотурбинного оборудования) — не менее 1 человека.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iCs/>
                <w:kern w:val="0"/>
                <w:szCs w:val="24"/>
                <w:lang w:val="ru-RU" w:eastAsia="ru-RU" w:bidi="ar-SA"/>
              </w:rPr>
              <w:t>До начала проведения работ в рамках исполнения договора после его заключения подрядчик предоставляет список персонала с указанием сведений о квалификации персонала, разряде, с приложением копий.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Согласие</w:t>
            </w:r>
            <w:r>
              <w:rPr>
                <w:rFonts w:eastAsia="Times New Roman" w:cs="Times New Roman"/>
                <w:kern w:val="0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с требованием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-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b/>
                <w:szCs w:val="24"/>
                <w:lang w:eastAsia="x-none"/>
              </w:rPr>
            </w:pPr>
            <w:r>
              <w:rPr>
                <w:rFonts w:eastAsia="Calibri"/>
                <w:b/>
                <w:szCs w:val="24"/>
                <w:lang w:eastAsia="x-none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b/>
                <w:szCs w:val="24"/>
                <w:lang w:eastAsia="x-none"/>
              </w:rPr>
            </w:pPr>
            <w:r>
              <w:rPr>
                <w:rFonts w:eastAsia="Calibri"/>
                <w:b/>
                <w:szCs w:val="24"/>
                <w:lang w:eastAsia="x-none"/>
              </w:rPr>
            </w:r>
          </w:p>
        </w:tc>
      </w:tr>
      <w:tr>
        <w:trPr/>
        <w:tc>
          <w:tcPr>
            <w:tcW w:w="993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left="25" w:hanging="0"/>
              <w:contextualSpacing/>
              <w:jc w:val="center"/>
              <w:rPr>
                <w:b/>
                <w:lang w:eastAsia="x-none"/>
              </w:rPr>
            </w:pPr>
            <w:r>
              <w:rPr>
                <w:rFonts w:cs="Times New Roman"/>
                <w:b/>
                <w:kern w:val="0"/>
                <w:lang w:val="ru-RU" w:eastAsia="x-none" w:bidi="ar-SA"/>
              </w:rPr>
              <w:t xml:space="preserve">1.6. </w:t>
            </w:r>
          </w:p>
        </w:tc>
        <w:tc>
          <w:tcPr>
            <w:tcW w:w="10631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bCs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Cs w:val="24"/>
                <w:lang w:val="ru-RU" w:eastAsia="ru-RU" w:bidi="ar-SA"/>
              </w:rPr>
              <w:t>Требование к безопасности работ и охране труда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-//-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93" w:type="dxa"/>
            <w:tcBorders>
              <w:top w:val="nil"/>
            </w:tcBorders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left="0" w:hanging="0"/>
              <w:contextualSpacing/>
              <w:jc w:val="center"/>
              <w:rPr>
                <w:b/>
                <w:lang w:eastAsia="x-none"/>
              </w:rPr>
            </w:pPr>
            <w:r>
              <w:rPr>
                <w:rFonts w:cs="Times New Roman"/>
                <w:b/>
                <w:kern w:val="0"/>
                <w:lang w:val="ru-RU" w:eastAsia="x-none" w:bidi="ar-SA"/>
              </w:rPr>
              <w:t>1.6.1.</w:t>
            </w:r>
          </w:p>
          <w:p>
            <w:pPr>
              <w:pStyle w:val="ListParagraph"/>
              <w:widowControl w:val="false"/>
              <w:suppressAutoHyphens w:val="true"/>
              <w:spacing w:before="60" w:after="60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3825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Требования к безопасности при выполнении работ</w:t>
            </w:r>
          </w:p>
        </w:tc>
        <w:tc>
          <w:tcPr>
            <w:tcW w:w="6806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Подрядчик должен: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 xml:space="preserve">    </w:t>
            </w: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1. соблюдать требования действующего федерального законодательства Российской Федерации, нормативных правовых актов субъектов Российской Федерации, в т.ч. законодательство о недрах, охране окружающей среды, промышленной и пожарной безопасности, охране труда, энергоэффективности, рационального использования природных ресурсов и полезных ископаемых, а также все прочие законы и нормативные акты, относящиеся к сфере деятельности;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 xml:space="preserve">    </w:t>
            </w: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2. Подрядчик обязан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направлять на объекты заказчика работников, обученных правилам безопасного ведения работ и имеющих все необходимые допуски к производству работ, а также представлять документы на русском языке, подтверждающие аттестацию работников на проведение соответствующих видов работ.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 xml:space="preserve">    </w:t>
            </w: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3. § СО34.03.201-97 (РД 34.03.201-97) Правила техники безопасности при эксплуатации тепломеханического оборудования электростанций и тепловых сетей;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 xml:space="preserve">    </w:t>
            </w: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4. § СО 34.03.301-2000 Правила пожарной безопасности для энергетических предприятий;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5.  § Федеральный закон "О промышленной безопасности опасных производственных объектов" № 116-ФЗ от 21 июля 1997г (с изменениями)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6. § Правила по охране труда при эксплуатации электроустановок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7. § Постановление Правительства РФ от 25.04.2012 N 390 "О противопожарном режиме "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8. § Правил по охране труда при эксплуатации электроустановок, утвержденных приказом Минтруда России от 19.02.2016 г. № 74н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9. § Федеральных норм и правил в области промышленной безопасности «Правила безопасности опасных производственных объектов, на которых используется подъемные сооружения» Приказ № 461 от 26 ноября 2020 г.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10. § Приказ Минтруда России от 27.11.2020 N 835н "Об утверждении Правил по охране труда при работе с инструментом и приспособлениями"</w:t>
            </w:r>
          </w:p>
        </w:tc>
        <w:tc>
          <w:tcPr>
            <w:tcW w:w="198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Согласие</w:t>
            </w:r>
            <w:r>
              <w:rPr>
                <w:rFonts w:eastAsia="Times New Roman" w:cs="Times New Roman"/>
                <w:kern w:val="0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с требованием</w:t>
            </w:r>
          </w:p>
        </w:tc>
        <w:tc>
          <w:tcPr>
            <w:tcW w:w="198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-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b/>
                <w:szCs w:val="24"/>
                <w:lang w:eastAsia="x-none"/>
              </w:rPr>
            </w:pPr>
            <w:r>
              <w:rPr>
                <w:rFonts w:eastAsia="Calibri"/>
                <w:b/>
                <w:szCs w:val="24"/>
                <w:lang w:eastAsia="x-none"/>
              </w:rPr>
            </w:r>
          </w:p>
        </w:tc>
      </w:tr>
      <w:tr>
        <w:trPr/>
        <w:tc>
          <w:tcPr>
            <w:tcW w:w="99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spacing w:before="60" w:after="60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1063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Cs w:val="24"/>
                <w:lang w:val="ru-RU" w:eastAsia="ru-RU" w:bidi="ar-SA"/>
              </w:rPr>
              <w:t>Требования к результатам работ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-//-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9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9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1063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Общие требования к результатам работ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-//-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9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9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382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Результат работ</w:t>
            </w:r>
          </w:p>
        </w:tc>
        <w:tc>
          <w:tcPr>
            <w:tcW w:w="680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Результат работ должен соответствовать перечню и объемам выполняемых работ (Приложение №1 к Техническим требованиям).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Согласие</w:t>
            </w:r>
            <w:r>
              <w:rPr>
                <w:rFonts w:eastAsia="Times New Roman" w:cs="Times New Roman"/>
                <w:kern w:val="0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с требованием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-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b/>
                <w:szCs w:val="24"/>
                <w:lang w:eastAsia="x-none"/>
              </w:rPr>
            </w:pPr>
            <w:r>
              <w:rPr>
                <w:rFonts w:eastAsia="Calibri"/>
                <w:b/>
                <w:szCs w:val="24"/>
                <w:lang w:eastAsia="x-none"/>
              </w:rPr>
            </w:r>
          </w:p>
        </w:tc>
      </w:tr>
      <w:tr>
        <w:trPr/>
        <w:tc>
          <w:tcPr>
            <w:tcW w:w="99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9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382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right="57" w:hanging="0"/>
              <w:jc w:val="both"/>
              <w:rPr>
                <w:szCs w:val="24"/>
              </w:rPr>
            </w:pPr>
            <w:r>
              <w:rPr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right="57" w:hanging="0"/>
              <w:jc w:val="both"/>
              <w:rPr>
                <w:szCs w:val="24"/>
              </w:rPr>
            </w:pPr>
            <w:r>
              <w:rPr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right="57" w:hanging="0"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Cs w:val="24"/>
                <w:lang w:val="ru-RU" w:eastAsia="ru-RU" w:bidi="ar-SA"/>
              </w:rPr>
              <w:t>Качество работ</w:t>
            </w:r>
          </w:p>
        </w:tc>
        <w:tc>
          <w:tcPr>
            <w:tcW w:w="6806" w:type="dxa"/>
            <w:tcBorders/>
          </w:tcPr>
          <w:p>
            <w:pPr>
              <w:pStyle w:val="Normal"/>
              <w:widowControl w:val="false"/>
              <w:suppressAutoHyphens w:val="true"/>
              <w:spacing w:lineRule="atLeast" w:line="100" w:before="0" w:after="0"/>
              <w:ind w:firstLine="5"/>
              <w:jc w:val="both"/>
              <w:rPr>
                <w:szCs w:val="24"/>
              </w:rPr>
            </w:pPr>
            <w:r>
              <w:rPr>
                <w:rFonts w:eastAsia="Lucida Sans Unicode" w:cs="Times New Roman"/>
                <w:kern w:val="2"/>
                <w:szCs w:val="24"/>
                <w:lang w:val="ru-RU" w:eastAsia="hi-IN" w:bidi="hi-IN"/>
              </w:rPr>
              <w:t>Качество выполненных подрядчиком работ должно соответствовать требованиям, предъявляемым к работам соответствующего рода, если иное не предусмотрено законом, иными правовыми актами или договором подряда.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32" w:leader="none"/>
                <w:tab w:val="left" w:pos="459" w:leader="none"/>
              </w:tabs>
              <w:suppressAutoHyphens w:val="true"/>
              <w:spacing w:before="0" w:after="0"/>
              <w:jc w:val="both"/>
              <w:rPr>
                <w:szCs w:val="24"/>
              </w:rPr>
            </w:pPr>
            <w:r>
              <w:rPr>
                <w:rFonts w:eastAsia="Lucida Sans Unicode" w:cs="Times New Roman"/>
                <w:kern w:val="2"/>
                <w:szCs w:val="24"/>
                <w:lang w:val="ru-RU" w:eastAsia="hi-IN" w:bidi="hi-IN"/>
              </w:rPr>
              <w:t>Подрядчик обязан безвозмездно исправить по требованию Заказчика все выявленные недостатки ухудшившее качество работы в согласованные сроки.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Согласие</w:t>
            </w:r>
            <w:r>
              <w:rPr>
                <w:rFonts w:eastAsia="Times New Roman" w:cs="Times New Roman"/>
                <w:kern w:val="0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с требованием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-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b/>
                <w:szCs w:val="24"/>
                <w:lang w:eastAsia="x-none"/>
              </w:rPr>
            </w:pPr>
            <w:r>
              <w:rPr>
                <w:rFonts w:eastAsia="Calibri"/>
                <w:b/>
                <w:szCs w:val="24"/>
                <w:lang w:eastAsia="x-none"/>
              </w:rPr>
            </w:r>
          </w:p>
        </w:tc>
      </w:tr>
      <w:tr>
        <w:trPr/>
        <w:tc>
          <w:tcPr>
            <w:tcW w:w="99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9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063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/>
            </w:pPr>
            <w:r>
              <w:rPr>
                <w:rStyle w:val="Style8"/>
                <w:rFonts w:eastAsia="Times New Roman" w:cs="Times New Roman"/>
                <w:bCs/>
                <w:i w:val="false"/>
                <w:kern w:val="0"/>
                <w:szCs w:val="24"/>
                <w:shd w:fill="auto" w:val="clear"/>
                <w:lang w:val="ru-RU" w:eastAsia="ru-RU" w:bidi="ar-SA"/>
              </w:rPr>
              <w:t>Требования к порядку приемки результатов работ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-//-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9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9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382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Приемка работ</w:t>
            </w:r>
          </w:p>
        </w:tc>
        <w:tc>
          <w:tcPr>
            <w:tcW w:w="680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both"/>
              <w:rPr>
                <w:szCs w:val="24"/>
              </w:rPr>
            </w:pPr>
            <w:r>
              <w:rPr>
                <w:rFonts w:eastAsia="Lucida Sans Unicode" w:cs="Times New Roman"/>
                <w:kern w:val="2"/>
                <w:szCs w:val="24"/>
                <w:lang w:val="ru-RU" w:eastAsia="hi-IN" w:bidi="hi-IN"/>
              </w:rPr>
              <w:t>Приемка работ осуществляется комиссией назначаемой Заказчиком с участием полномочных представителей Подрядчика, при необходимости с привлечением иных заинтересованных лиц и/или органов надзора.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Согласие</w:t>
            </w:r>
            <w:r>
              <w:rPr>
                <w:rFonts w:eastAsia="Times New Roman" w:cs="Times New Roman"/>
                <w:kern w:val="0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с требованием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-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b/>
                <w:szCs w:val="24"/>
                <w:lang w:eastAsia="x-none"/>
              </w:rPr>
            </w:pPr>
            <w:r>
              <w:rPr>
                <w:rFonts w:eastAsia="Calibri"/>
                <w:b/>
                <w:szCs w:val="24"/>
                <w:lang w:eastAsia="x-none"/>
              </w:rPr>
            </w:r>
          </w:p>
        </w:tc>
      </w:tr>
      <w:tr>
        <w:trPr/>
        <w:tc>
          <w:tcPr>
            <w:tcW w:w="99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9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1063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Требования к оформлению документации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-//-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9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9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382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Документы, передаваемые заказчику по результатам выполненных работ</w:t>
            </w:r>
          </w:p>
        </w:tc>
        <w:tc>
          <w:tcPr>
            <w:tcW w:w="6806" w:type="dxa"/>
            <w:tcBorders/>
          </w:tcPr>
          <w:p>
            <w:pPr>
              <w:pStyle w:val="NoSpacing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 xml:space="preserve">Подрядчик в соответствии с действующей нормативно-технической документацией ведёт исполнительную документацию на протяжении всего периода производства работ и в момент завершения каждого из отчётных периодов передаёт один экземпляр исполнительной документации Заказчику. </w:t>
            </w:r>
          </w:p>
          <w:p>
            <w:pPr>
              <w:pStyle w:val="NoSpacing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kern w:val="0"/>
                <w:lang w:val="ru-RU" w:bidi="ar-SA"/>
              </w:rPr>
            </w:pPr>
            <w:r>
              <w:rPr>
                <w:rFonts w:cs="Times New Roman"/>
                <w:kern w:val="0"/>
                <w:lang w:val="ru-RU" w:eastAsia="x-none" w:bidi="ar-SA"/>
              </w:rPr>
              <w:t>Приемка работ ведется в соответствии с Правилами организации технического обслуживания и ремонта объектов электроэнергетики (Приказ Минэнерго РФ от 25 октября 2017 года № 1013).</w:t>
            </w:r>
          </w:p>
          <w:p>
            <w:pPr>
              <w:pStyle w:val="NoSpacing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kern w:val="0"/>
                <w:lang w:val="ru-RU" w:bidi="ar-SA"/>
              </w:rPr>
            </w:pPr>
            <w:r>
              <w:rPr>
                <w:rFonts w:cs="Times New Roman"/>
                <w:kern w:val="0"/>
                <w:lang w:val="ru-RU" w:eastAsia="x-none" w:bidi="ar-SA"/>
              </w:rPr>
              <w:t>При приёмочном контроле Подрядчик должен представить Заказчику следующую документацию:</w:t>
            </w:r>
          </w:p>
          <w:p>
            <w:pPr>
              <w:pStyle w:val="NoSpacing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kern w:val="0"/>
                <w:lang w:val="ru-RU" w:bidi="ar-SA"/>
              </w:rPr>
            </w:pPr>
            <w:r>
              <w:rPr>
                <w:rFonts w:cs="Times New Roman"/>
                <w:kern w:val="0"/>
                <w:lang w:val="ru-RU" w:eastAsia="x-none" w:bidi="ar-SA"/>
              </w:rPr>
              <w:t>- Исполнительный акт приемки выполненных работ;</w:t>
            </w:r>
          </w:p>
          <w:p>
            <w:pPr>
              <w:pStyle w:val="NoSpacing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kern w:val="0"/>
                <w:lang w:val="ru-RU" w:bidi="ar-SA"/>
              </w:rPr>
            </w:pPr>
            <w:r>
              <w:rPr>
                <w:rFonts w:cs="Times New Roman"/>
                <w:kern w:val="0"/>
                <w:lang w:val="ru-RU" w:eastAsia="x-none" w:bidi="ar-SA"/>
              </w:rPr>
              <w:t>- Журнал учета выполненных работ по форме КС-6а;</w:t>
            </w:r>
          </w:p>
          <w:p>
            <w:pPr>
              <w:pStyle w:val="NoSpacing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kern w:val="0"/>
                <w:lang w:val="ru-RU" w:bidi="ar-SA"/>
              </w:rPr>
            </w:pPr>
            <w:r>
              <w:rPr>
                <w:rFonts w:cs="Times New Roman"/>
                <w:kern w:val="0"/>
                <w:lang w:val="ru-RU" w:eastAsia="x-none" w:bidi="ar-SA"/>
              </w:rPr>
              <w:t>- Акты на скрытые работы;</w:t>
            </w:r>
          </w:p>
          <w:p>
            <w:pPr>
              <w:pStyle w:val="NoSpacing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kern w:val="0"/>
                <w:lang w:val="ru-RU" w:bidi="ar-SA"/>
              </w:rPr>
            </w:pPr>
            <w:r>
              <w:rPr>
                <w:rFonts w:cs="Times New Roman"/>
                <w:kern w:val="0"/>
                <w:lang w:val="ru-RU" w:eastAsia="x-none" w:bidi="ar-SA"/>
              </w:rPr>
              <w:t>- Акты дефектации оборудования;</w:t>
            </w:r>
          </w:p>
          <w:p>
            <w:pPr>
              <w:pStyle w:val="NoSpacing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kern w:val="0"/>
                <w:lang w:val="ru-RU" w:bidi="ar-SA"/>
              </w:rPr>
            </w:pPr>
            <w:r>
              <w:rPr>
                <w:rFonts w:cs="Times New Roman"/>
                <w:kern w:val="0"/>
                <w:lang w:val="ru-RU" w:eastAsia="x-none" w:bidi="ar-SA"/>
              </w:rPr>
              <w:t>- Ведомости дополнительных работ;</w:t>
            </w:r>
          </w:p>
          <w:p>
            <w:pPr>
              <w:pStyle w:val="NoSpacing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kern w:val="0"/>
                <w:lang w:val="ru-RU" w:bidi="ar-SA"/>
              </w:rPr>
            </w:pPr>
            <w:r>
              <w:rPr>
                <w:rFonts w:cs="Times New Roman"/>
                <w:kern w:val="0"/>
                <w:lang w:val="ru-RU" w:eastAsia="x-none" w:bidi="ar-SA"/>
              </w:rPr>
              <w:t>- Форма КС-3 – справка о стоимости выполненных работ;</w:t>
            </w:r>
          </w:p>
          <w:p>
            <w:pPr>
              <w:pStyle w:val="NoSpacing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kern w:val="0"/>
                <w:lang w:val="ru-RU" w:bidi="ar-SA"/>
              </w:rPr>
            </w:pPr>
            <w:r>
              <w:rPr>
                <w:rFonts w:cs="Times New Roman"/>
                <w:kern w:val="0"/>
                <w:lang w:val="ru-RU" w:eastAsia="x-none" w:bidi="ar-SA"/>
              </w:rPr>
              <w:t>- Форма КС-2 - акт о приемке выполненных работ;</w:t>
            </w:r>
          </w:p>
          <w:p>
            <w:pPr>
              <w:pStyle w:val="NoSpacing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kern w:val="0"/>
                <w:lang w:val="ru-RU" w:bidi="ar-SA"/>
              </w:rPr>
            </w:pPr>
            <w:r>
              <w:rPr>
                <w:rFonts w:cs="Times New Roman"/>
                <w:kern w:val="0"/>
                <w:lang w:val="ru-RU" w:eastAsia="x-none" w:bidi="ar-SA"/>
              </w:rPr>
              <w:t>- Счет фактура (для плательщиков НДС).</w:t>
            </w:r>
          </w:p>
          <w:p>
            <w:pPr>
              <w:pStyle w:val="NoSpacing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Согласие</w:t>
            </w:r>
            <w:r>
              <w:rPr>
                <w:rFonts w:eastAsia="Times New Roman" w:cs="Times New Roman"/>
                <w:kern w:val="0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с требованием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-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b/>
                <w:szCs w:val="24"/>
                <w:lang w:eastAsia="x-none"/>
              </w:rPr>
            </w:pPr>
            <w:r>
              <w:rPr>
                <w:rFonts w:eastAsia="Calibri"/>
                <w:b/>
                <w:szCs w:val="24"/>
                <w:lang w:eastAsia="x-none"/>
              </w:rPr>
            </w:r>
          </w:p>
        </w:tc>
      </w:tr>
      <w:tr>
        <w:trPr/>
        <w:tc>
          <w:tcPr>
            <w:tcW w:w="99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spacing w:before="60" w:after="60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1063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20" w:after="0"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Требования к ответственности и гарантиям подрядчика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-//-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9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9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</w:r>
          </w:p>
        </w:tc>
        <w:tc>
          <w:tcPr>
            <w:tcW w:w="382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Гарантийный срок на результат работ</w:t>
            </w:r>
          </w:p>
        </w:tc>
        <w:tc>
          <w:tcPr>
            <w:tcW w:w="680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Гарантийный срок на результат работ должен составлять 18 месяцев с даты подписания Акта о приемке выполненных работ КС-2.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shd w:fill="FFFFFF" w:val="clear"/>
                <w:lang w:val="ru-RU" w:eastAsia="ru-RU" w:bidi="ar-SA"/>
              </w:rPr>
              <w:t>Заказчик, обнаруживший после приемки работы отступления в ней от договора или иные недостатки, которые не могли быть установлены при обычном способе приемки (скрытые недостатки), в том числе такие, которые были умышленно скрыты подрядчиком, обязан известить об этом Подрядчика, а Подрядчик устраняет их за свой счет в согласованные сторонами сроки и компенсирует Заказчику понесенные при этом убытки в разумный срок.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Согласие</w:t>
            </w:r>
            <w:r>
              <w:rPr>
                <w:rFonts w:eastAsia="Times New Roman" w:cs="Times New Roman"/>
                <w:kern w:val="0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с требованием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-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b/>
                <w:szCs w:val="24"/>
                <w:lang w:eastAsia="x-none"/>
              </w:rPr>
            </w:pPr>
            <w:r>
              <w:rPr>
                <w:rFonts w:eastAsia="Calibri"/>
                <w:b/>
                <w:szCs w:val="24"/>
                <w:lang w:eastAsia="x-none"/>
              </w:rPr>
            </w:r>
          </w:p>
        </w:tc>
      </w:tr>
      <w:tr>
        <w:trPr/>
        <w:tc>
          <w:tcPr>
            <w:tcW w:w="99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4.</w:t>
            </w:r>
          </w:p>
        </w:tc>
        <w:tc>
          <w:tcPr>
            <w:tcW w:w="1063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Прочие требования к выполняемым работам</w:t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-//-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99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4.1.</w:t>
            </w:r>
          </w:p>
        </w:tc>
        <w:tc>
          <w:tcPr>
            <w:tcW w:w="3825" w:type="dxa"/>
            <w:tcBorders/>
            <w:vAlign w:val="center"/>
          </w:tcPr>
          <w:p>
            <w:pPr>
              <w:pStyle w:val="Style30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both"/>
              <w:outlineLvl w:val="2"/>
              <w:rPr>
                <w:sz w:val="20"/>
                <w:szCs w:val="20"/>
              </w:rPr>
            </w:pPr>
            <w:bookmarkStart w:id="39" w:name="__RefHeading___Toc12264_2593447515"/>
            <w:bookmarkEnd w:id="39"/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  <w:t>Экологические требования по охране окружающей среды</w:t>
            </w:r>
          </w:p>
          <w:p>
            <w:pPr>
              <w:pStyle w:val="Style30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both"/>
              <w:outlineLvl w:val="2"/>
              <w:rPr>
                <w:rFonts w:eastAsia="Times New Roman"/>
                <w:b w:val="false"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680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Согласно действующим нормам и правилам, мероприятия по охране окружающей среды (Закон РФ «Об охране окружающей природной среды» № 45-Ф3 от 09.05.05.)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 xml:space="preserve">При выполнении работ необходимо выполнять требования законодательства в области охраны окружающей среды.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Мероприятия по охране окружающей среды на период ремонта: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1)</w:t>
              <w:tab/>
              <w:t>Приемка выполненных работ производится комиссионно с обязательным присутствием представителя подрядной организации.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2)</w:t>
              <w:tab/>
              <w:t>При выполнении всех ремонтных работ необходимо строго соблюдать требования защиты окружающей среды, сохранения её устойчивого равновесия и не нарушать условия землепользования, установленные законодательством об охране природы.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3)</w:t>
              <w:tab/>
              <w:t>Отходы, строительный мусор должны своевременно вывозиться для дальнейшей утилизации.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4)</w:t>
              <w:tab/>
              <w:t>Мероприятия и работы по охране окружающей среды вести в соответствии с требованиями СП 48.13330.2019 и СП 45.13330.2017.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5)</w:t>
              <w:tab/>
              <w:t>Подрядчик обязан соблюдать требования защиты окружающей среды, сохранения её устойчивого равновесия и не нарушать условия землепользования, установленные законодательством об охране природы.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Style w:val="Hyperlink"/>
                <w:szCs w:val="24"/>
              </w:rPr>
            </w:pPr>
            <w:r>
              <w:rPr>
                <w:szCs w:val="24"/>
              </w:rPr>
            </w:r>
          </w:p>
          <w:p>
            <w:pPr>
              <w:pStyle w:val="NoSpacing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Подрядчик обязан поддерживать Политику ИСМ ПАО «Якутскэнерго». Политика размещена на внешнем сайте компании по адресу: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/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 xml:space="preserve"> </w:t>
            </w:r>
            <w:hyperlink r:id="rId6">
              <w:r>
                <w:rPr>
                  <w:rStyle w:val="Hyperlink"/>
                  <w:rFonts w:eastAsia="Times New Roman" w:cs="Times New Roman"/>
                  <w:kern w:val="0"/>
                  <w:szCs w:val="24"/>
                  <w:lang w:val="ru-RU" w:eastAsia="ru-RU" w:bidi="ar-SA"/>
                </w:rPr>
                <w:t>https://yakutskenergo.ru/</w:t>
              </w:r>
              <w:r>
                <w:rPr>
                  <w:rStyle w:val="Hyperlink"/>
                  <w:rFonts w:eastAsia="Times New Roman" w:cs="Times New Roman"/>
                  <w:kern w:val="0"/>
                  <w:szCs w:val="24"/>
                  <w:lang w:val="en-US" w:eastAsia="ru-RU" w:bidi="ar-SA"/>
                </w:rPr>
                <w:t>procurement</w:t>
              </w:r>
              <w:r>
                <w:rPr>
                  <w:rStyle w:val="Hyperlink"/>
                  <w:rFonts w:eastAsia="Times New Roman" w:cs="Times New Roman"/>
                  <w:kern w:val="0"/>
                  <w:szCs w:val="24"/>
                  <w:lang w:val="ru-RU" w:eastAsia="ru-RU" w:bidi="ar-SA"/>
                </w:rPr>
                <w:t>/</w:t>
              </w:r>
              <w:r>
                <w:rPr>
                  <w:rStyle w:val="Hyperlink"/>
                  <w:rFonts w:eastAsia="Times New Roman" w:cs="Times New Roman"/>
                  <w:kern w:val="0"/>
                  <w:szCs w:val="24"/>
                  <w:lang w:val="en-US" w:eastAsia="ru-RU" w:bidi="ar-SA"/>
                </w:rPr>
                <w:t>information</w:t>
              </w:r>
              <w:r>
                <w:rPr>
                  <w:rStyle w:val="Hyperlink"/>
                  <w:rFonts w:eastAsia="Times New Roman" w:cs="Times New Roman"/>
                  <w:kern w:val="0"/>
                  <w:szCs w:val="24"/>
                  <w:lang w:val="ru-RU" w:eastAsia="ru-RU" w:bidi="ar-SA"/>
                </w:rPr>
                <w:t>-</w:t>
              </w:r>
              <w:r>
                <w:rPr>
                  <w:rStyle w:val="Hyperlink"/>
                  <w:rFonts w:eastAsia="Times New Roman" w:cs="Times New Roman"/>
                  <w:kern w:val="0"/>
                  <w:szCs w:val="24"/>
                  <w:lang w:val="en-US" w:eastAsia="ru-RU" w:bidi="ar-SA"/>
                </w:rPr>
                <w:t>for</w:t>
              </w:r>
              <w:r>
                <w:rPr>
                  <w:rStyle w:val="Hyperlink"/>
                  <w:rFonts w:eastAsia="Times New Roman" w:cs="Times New Roman"/>
                  <w:kern w:val="0"/>
                  <w:szCs w:val="24"/>
                  <w:lang w:val="ru-RU" w:eastAsia="ru-RU" w:bidi="ar-SA"/>
                </w:rPr>
                <w:t>-</w:t>
              </w:r>
              <w:r>
                <w:rPr>
                  <w:rStyle w:val="Hyperlink"/>
                  <w:rFonts w:eastAsia="Times New Roman" w:cs="Times New Roman"/>
                  <w:kern w:val="0"/>
                  <w:szCs w:val="24"/>
                  <w:lang w:val="en-US" w:eastAsia="ru-RU" w:bidi="ar-SA"/>
                </w:rPr>
                <w:t>partners</w:t>
              </w:r>
            </w:hyperlink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  <w:tab w:val="left" w:pos="993" w:leader="none"/>
              </w:tabs>
              <w:suppressAutoHyphens w:val="true"/>
              <w:spacing w:before="0" w:after="0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</w:r>
          </w:p>
        </w:tc>
        <w:tc>
          <w:tcPr>
            <w:tcW w:w="19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Согласие</w:t>
            </w:r>
            <w:r>
              <w:rPr>
                <w:rFonts w:eastAsia="Times New Roman" w:cs="Times New Roman"/>
                <w:kern w:val="0"/>
                <w:szCs w:val="24"/>
                <w:lang w:val="en-US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с требованием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Cs w:val="24"/>
              </w:rPr>
            </w:pPr>
            <w:r>
              <w:rPr>
                <w:rFonts w:eastAsia="Times New Roman" w:cs="Times New Roman"/>
                <w:kern w:val="0"/>
                <w:szCs w:val="24"/>
                <w:lang w:val="ru-RU" w:eastAsia="ru-RU" w:bidi="ar-SA"/>
              </w:rPr>
              <w:t>-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Calibri"/>
                <w:b/>
                <w:szCs w:val="24"/>
                <w:lang w:eastAsia="x-none"/>
              </w:rPr>
            </w:pPr>
            <w:r>
              <w:rPr>
                <w:rFonts w:eastAsia="Calibri"/>
                <w:b/>
                <w:szCs w:val="24"/>
                <w:lang w:eastAsia="x-none"/>
              </w:rPr>
            </w:r>
          </w:p>
        </w:tc>
      </w:tr>
    </w:tbl>
    <w:p>
      <w:pPr>
        <w:sectPr>
          <w:headerReference w:type="default" r:id="rId7"/>
          <w:headerReference w:type="first" r:id="rId8"/>
          <w:type w:val="nextPage"/>
          <w:pgSz w:orient="landscape" w:w="16838" w:h="11906"/>
          <w:pgMar w:left="992" w:right="567" w:gutter="0" w:header="680" w:top="851" w:footer="0" w:bottom="851"/>
          <w:pgNumType w:fmt="decimal"/>
          <w:formProt w:val="false"/>
          <w:titlePg/>
          <w:textDirection w:val="lrTb"/>
          <w:docGrid w:type="default" w:linePitch="381" w:charSpace="0"/>
        </w:sectPr>
      </w:pPr>
    </w:p>
    <w:p>
      <w:pPr>
        <w:pStyle w:val="Heading1"/>
        <w:keepLines/>
        <w:numPr>
          <w:ilvl w:val="0"/>
          <w:numId w:val="3"/>
        </w:numPr>
        <w:spacing w:before="120" w:after="360"/>
        <w:ind w:left="357" w:hanging="357"/>
        <w:jc w:val="center"/>
        <w:rPr>
          <w:sz w:val="24"/>
          <w:szCs w:val="24"/>
        </w:rPr>
      </w:pPr>
      <w:bookmarkStart w:id="40" w:name="__RefHeading___Toc12266_2593447515"/>
      <w:bookmarkStart w:id="41" w:name="_Toc124950360"/>
      <w:bookmarkStart w:id="42" w:name="_Toc53393312"/>
      <w:bookmarkEnd w:id="40"/>
      <w:r>
        <w:rPr>
          <w:sz w:val="24"/>
          <w:szCs w:val="24"/>
          <w:lang w:val="ru-RU"/>
        </w:rPr>
        <w:t>Требования к документации по ценообразованию</w:t>
      </w:r>
      <w:bookmarkEnd w:id="42"/>
      <w:r>
        <w:rPr>
          <w:sz w:val="24"/>
          <w:szCs w:val="24"/>
          <w:lang w:val="ru-RU"/>
        </w:rPr>
        <w:t xml:space="preserve"> на этапе закупки</w:t>
      </w:r>
      <w:bookmarkEnd w:id="41"/>
    </w:p>
    <w:p>
      <w:pPr>
        <w:pStyle w:val="NoSpacing"/>
        <w:spacing w:lineRule="auto" w:line="276"/>
        <w:jc w:val="both"/>
        <w:rPr/>
      </w:pPr>
      <w:r>
        <w:rPr/>
        <w:t>3.1. 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 (с указанием понижающего коэффициента).</w:t>
      </w:r>
    </w:p>
    <w:p>
      <w:pPr>
        <w:pStyle w:val="NoSpacing"/>
        <w:spacing w:lineRule="auto" w:line="276"/>
        <w:jc w:val="both"/>
        <w:rPr/>
      </w:pPr>
      <w:r>
        <w:rPr/>
        <w:t>3.2. Дополнительные документы по ценообразованию (сметная документация) в состав заявки Участника не включаются».</w:t>
      </w:r>
    </w:p>
    <w:p>
      <w:pPr>
        <w:pStyle w:val="Heading1"/>
        <w:keepLines/>
        <w:numPr>
          <w:ilvl w:val="0"/>
          <w:numId w:val="3"/>
        </w:numPr>
        <w:ind w:left="357" w:hanging="357"/>
        <w:jc w:val="center"/>
        <w:rPr>
          <w:sz w:val="24"/>
          <w:szCs w:val="24"/>
        </w:rPr>
      </w:pPr>
      <w:bookmarkStart w:id="43" w:name="__RefHeading___Toc12268_2593447515"/>
      <w:bookmarkStart w:id="44" w:name="_Toc124950361"/>
      <w:bookmarkEnd w:id="43"/>
      <w:r>
        <w:rPr>
          <w:sz w:val="24"/>
          <w:szCs w:val="24"/>
          <w:lang w:val="ru-RU"/>
        </w:rPr>
        <w:t>Требования к документации по ценообразованию на этапе заключения (исполнения) договора</w:t>
      </w:r>
      <w:bookmarkEnd w:id="44"/>
    </w:p>
    <w:p>
      <w:pPr>
        <w:pStyle w:val="Heading4"/>
        <w:numPr>
          <w:ilvl w:val="1"/>
          <w:numId w:val="3"/>
        </w:numPr>
        <w:tabs>
          <w:tab w:val="left" w:pos="0" w:leader="none"/>
          <w:tab w:val="left" w:pos="426" w:leader="none"/>
        </w:tabs>
        <w:spacing w:lineRule="auto" w:line="276" w:before="0" w:after="0"/>
        <w:ind w:left="0" w:hanging="0"/>
        <w:jc w:val="both"/>
        <w:rPr/>
      </w:pPr>
      <w:bookmarkStart w:id="45" w:name="__RefHeading___Toc12270_2593447515"/>
      <w:bookmarkStart w:id="46" w:name="_Toc124950362"/>
      <w:bookmarkStart w:id="47" w:name="_Ref54278740"/>
      <w:bookmarkEnd w:id="45"/>
      <w:r>
        <w:rPr>
          <w:b w:val="false"/>
        </w:rPr>
        <w:t>Требования к составлению сметной документации (при заключении договора):</w:t>
      </w:r>
      <w:bookmarkEnd w:id="46"/>
      <w:bookmarkEnd w:id="47"/>
    </w:p>
    <w:p>
      <w:pPr>
        <w:pStyle w:val="Heading3"/>
        <w:numPr>
          <w:ilvl w:val="2"/>
          <w:numId w:val="3"/>
        </w:numPr>
        <w:tabs>
          <w:tab w:val="clear" w:pos="708"/>
          <w:tab w:val="left" w:pos="426" w:leader="none"/>
        </w:tabs>
        <w:spacing w:lineRule="auto" w:line="276" w:before="0" w:after="0"/>
        <w:ind w:left="0" w:hanging="0"/>
        <w:jc w:val="both"/>
        <w:rPr/>
      </w:pPr>
      <w:bookmarkStart w:id="48" w:name="__RefHeading___Toc12272_2593447515"/>
      <w:bookmarkStart w:id="49" w:name="_Toc124950363"/>
      <w:bookmarkStart w:id="50" w:name="_Hlk87544714"/>
      <w:bookmarkEnd w:id="48"/>
      <w:bookmarkEnd w:id="50"/>
      <w:r>
        <w:rPr>
          <w:b w:val="false"/>
        </w:rPr>
        <w:t>Сметная документация разработана заказчиком в рамках определения начальной (максимальной) цены договора в соответствии с требованиями, указанными в приложении №</w:t>
      </w:r>
      <w:r>
        <w:rPr>
          <w:b w:val="false"/>
          <w:lang w:val="ru-RU"/>
        </w:rPr>
        <w:t>2</w:t>
      </w:r>
      <w:r>
        <w:rPr>
          <w:b w:val="false"/>
        </w:rPr>
        <w:t xml:space="preserve"> к настоящим Техническим требованиям, и включается в состав договора с применением понижающего коэффициента, указанного в заявке Участника, с которым принято решение заключить договор.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</w:t>
      </w:r>
      <w:bookmarkEnd w:id="49"/>
    </w:p>
    <w:p>
      <w:pPr>
        <w:pStyle w:val="Heading3"/>
        <w:numPr>
          <w:ilvl w:val="2"/>
          <w:numId w:val="3"/>
        </w:numPr>
        <w:tabs>
          <w:tab w:val="clear" w:pos="708"/>
          <w:tab w:val="left" w:pos="426" w:leader="none"/>
        </w:tabs>
        <w:spacing w:lineRule="auto" w:line="276" w:before="0" w:after="0"/>
        <w:ind w:left="0" w:hanging="0"/>
        <w:jc w:val="both"/>
        <w:rPr/>
      </w:pPr>
      <w:bookmarkStart w:id="51" w:name="__RefHeading___Toc12274_2593447515"/>
      <w:bookmarkStart w:id="52" w:name="_Toc124950364"/>
      <w:bookmarkStart w:id="53" w:name="_Hlk87544714_Копия_1"/>
      <w:bookmarkEnd w:id="51"/>
      <w:bookmarkEnd w:id="53"/>
      <w:r>
        <w:rPr>
          <w:b w:val="false"/>
        </w:rPr>
        <w:t>Внесение изменений в сметную документацию заказчика</w:t>
      </w:r>
      <w:r>
        <w:rPr>
          <w:b w:val="false"/>
          <w:lang w:val="ru-RU"/>
        </w:rPr>
        <w:t xml:space="preserve"> </w:t>
      </w:r>
      <w:r>
        <w:rPr>
          <w:b w:val="false"/>
        </w:rPr>
        <w:t>(Приложение №</w:t>
      </w:r>
      <w:r>
        <w:rPr>
          <w:b w:val="false"/>
          <w:lang w:val="ru-RU"/>
        </w:rPr>
        <w:t>3</w:t>
      </w:r>
      <w:r>
        <w:rPr>
          <w:b w:val="false"/>
        </w:rPr>
        <w:t xml:space="preserve"> к ТТ), кроме применения понижающего коэффициента в соответствии с п.</w:t>
      </w:r>
      <w:r>
        <w:rPr>
          <w:b w:val="false"/>
        </w:rPr>
        <w:fldChar w:fldCharType="begin"/>
      </w:r>
      <w:r>
        <w:rPr>
          <w:b w:val="false"/>
        </w:rPr>
        <w:instrText xml:space="preserve"> REF _Ref54278740 \r \h </w:instrText>
      </w:r>
      <w:r>
        <w:rPr>
          <w:b w:val="false"/>
        </w:rPr>
        <w:fldChar w:fldCharType="separate"/>
      </w:r>
      <w:r>
        <w:rPr>
          <w:b w:val="false"/>
        </w:rPr>
        <w:t>4.1</w:t>
      </w:r>
      <w:r>
        <w:rPr>
          <w:b w:val="false"/>
        </w:rPr>
        <w:fldChar w:fldCharType="end"/>
      </w:r>
      <w:r>
        <w:rPr>
          <w:b w:val="false"/>
        </w:rPr>
        <w:t>.1, не допускается.</w:t>
      </w:r>
      <w:bookmarkEnd w:id="52"/>
    </w:p>
    <w:p>
      <w:pPr>
        <w:pStyle w:val="Heading4"/>
        <w:numPr>
          <w:ilvl w:val="1"/>
          <w:numId w:val="3"/>
        </w:numPr>
        <w:tabs>
          <w:tab w:val="left" w:pos="0" w:leader="none"/>
          <w:tab w:val="left" w:pos="426" w:leader="none"/>
        </w:tabs>
        <w:spacing w:lineRule="auto" w:line="276" w:before="0" w:after="0"/>
        <w:ind w:left="0" w:hanging="0"/>
        <w:jc w:val="both"/>
        <w:rPr/>
      </w:pPr>
      <w:bookmarkStart w:id="54" w:name="__RefHeading___Toc12276_2593447515"/>
      <w:bookmarkStart w:id="55" w:name="_Toc124950366"/>
      <w:bookmarkEnd w:id="54"/>
      <w:r>
        <w:rPr>
          <w:b w:val="false"/>
        </w:rPr>
        <w:t>Требования к составлению сметной документации (на этапе исполнения договора):</w:t>
      </w:r>
      <w:bookmarkEnd w:id="55"/>
    </w:p>
    <w:p>
      <w:pPr>
        <w:pStyle w:val="Heading1"/>
        <w:keepLines/>
        <w:numPr>
          <w:ilvl w:val="0"/>
          <w:numId w:val="3"/>
        </w:numPr>
        <w:ind w:left="357" w:hanging="357"/>
        <w:jc w:val="center"/>
        <w:rPr>
          <w:sz w:val="24"/>
          <w:szCs w:val="24"/>
        </w:rPr>
      </w:pPr>
      <w:bookmarkStart w:id="56" w:name="__RefHeading___Toc12278_2593447515"/>
      <w:bookmarkStart w:id="57" w:name="_Toc51339699"/>
      <w:bookmarkStart w:id="58" w:name="_Toc46743519"/>
      <w:bookmarkStart w:id="59" w:name="_Toc124950368"/>
      <w:bookmarkEnd w:id="56"/>
      <w:r>
        <w:rPr>
          <w:iCs/>
          <w:sz w:val="24"/>
          <w:szCs w:val="24"/>
        </w:rPr>
        <w:t>Приложения</w:t>
      </w:r>
      <w:bookmarkEnd w:id="57"/>
      <w:bookmarkEnd w:id="58"/>
      <w:bookmarkEnd w:id="59"/>
    </w:p>
    <w:p>
      <w:pPr>
        <w:pStyle w:val="Normal"/>
        <w:numPr>
          <w:ilvl w:val="0"/>
          <w:numId w:val="8"/>
        </w:numPr>
        <w:tabs>
          <w:tab w:val="clear" w:pos="708"/>
          <w:tab w:val="left" w:pos="426" w:leader="none"/>
        </w:tabs>
        <w:spacing w:before="0" w:after="0"/>
        <w:ind w:left="0" w:hanging="0"/>
        <w:contextualSpacing/>
        <w:jc w:val="both"/>
        <w:rPr>
          <w:szCs w:val="24"/>
        </w:rPr>
      </w:pPr>
      <w:r>
        <w:rPr>
          <w:szCs w:val="24"/>
        </w:rPr>
        <w:t>Приложение №1. Ведомость объемов работ;</w:t>
      </w:r>
    </w:p>
    <w:p>
      <w:pPr>
        <w:pStyle w:val="Normal"/>
        <w:numPr>
          <w:ilvl w:val="0"/>
          <w:numId w:val="8"/>
        </w:numPr>
        <w:tabs>
          <w:tab w:val="clear" w:pos="708"/>
          <w:tab w:val="left" w:pos="426" w:leader="none"/>
        </w:tabs>
        <w:ind w:left="0" w:hanging="0"/>
        <w:rPr>
          <w:szCs w:val="24"/>
        </w:rPr>
      </w:pPr>
      <w:r>
        <w:rPr>
          <w:bCs/>
          <w:szCs w:val="24"/>
          <w:lang w:eastAsia="x-none"/>
        </w:rPr>
        <w:t>Приложение №2</w:t>
      </w:r>
      <w:r>
        <w:rPr>
          <w:bCs/>
          <w:i/>
          <w:szCs w:val="24"/>
          <w:lang w:eastAsia="x-none"/>
        </w:rPr>
        <w:t xml:space="preserve">. </w:t>
      </w:r>
      <w:r>
        <w:rPr>
          <w:bCs/>
          <w:szCs w:val="24"/>
        </w:rPr>
        <w:t>Требования к ценообразованию при формировании Коммерческого предложения в составе заявки участника;</w:t>
      </w:r>
    </w:p>
    <w:p>
      <w:pPr>
        <w:pStyle w:val="Normal"/>
        <w:numPr>
          <w:ilvl w:val="0"/>
          <w:numId w:val="8"/>
        </w:numPr>
        <w:tabs>
          <w:tab w:val="clear" w:pos="708"/>
          <w:tab w:val="left" w:pos="426" w:leader="none"/>
        </w:tabs>
        <w:ind w:left="0" w:hanging="0"/>
        <w:rPr>
          <w:szCs w:val="24"/>
        </w:rPr>
      </w:pPr>
      <w:r>
        <w:rPr>
          <w:bCs/>
          <w:szCs w:val="24"/>
          <w:lang w:eastAsia="x-none"/>
        </w:rPr>
        <w:t>Приложение №</w:t>
      </w:r>
      <w:r>
        <w:rPr>
          <w:bCs/>
          <w:szCs w:val="24"/>
          <w:lang w:val="en-US" w:eastAsia="x-none"/>
        </w:rPr>
        <w:t>3</w:t>
      </w:r>
      <w:r>
        <w:rPr>
          <w:bCs/>
          <w:szCs w:val="24"/>
          <w:lang w:eastAsia="x-none"/>
        </w:rPr>
        <w:t xml:space="preserve">. </w:t>
      </w:r>
      <w:r>
        <w:rPr>
          <w:bCs/>
          <w:szCs w:val="24"/>
        </w:rPr>
        <w:t>Сметная документация;</w:t>
      </w:r>
    </w:p>
    <w:p>
      <w:pPr>
        <w:sectPr>
          <w:headerReference w:type="default" r:id="rId9"/>
          <w:headerReference w:type="first" r:id="rId10"/>
          <w:type w:val="nextPage"/>
          <w:pgSz w:w="11906" w:h="16838"/>
          <w:pgMar w:left="1134" w:right="851" w:gutter="0" w:header="680" w:top="1134" w:footer="0" w:bottom="992"/>
          <w:pgNumType w:fmt="decimal"/>
          <w:formProt w:val="false"/>
          <w:textDirection w:val="lrTb"/>
          <w:docGrid w:type="default" w:linePitch="381" w:charSpace="0"/>
        </w:sectPr>
        <w:pStyle w:val="Normal"/>
        <w:numPr>
          <w:ilvl w:val="0"/>
          <w:numId w:val="8"/>
        </w:numPr>
        <w:tabs>
          <w:tab w:val="clear" w:pos="708"/>
          <w:tab w:val="left" w:pos="426" w:leader="none"/>
        </w:tabs>
        <w:ind w:left="0" w:hanging="0"/>
        <w:rPr>
          <w:szCs w:val="24"/>
        </w:rPr>
      </w:pPr>
      <w:r>
        <w:rPr>
          <w:bCs/>
          <w:szCs w:val="24"/>
        </w:rPr>
        <w:t>Приложение №5. Перечень передаваемых и давальческих материалов.</w:t>
      </w:r>
      <w:r>
        <w:br w:type="page"/>
      </w:r>
    </w:p>
    <w:p>
      <w:pPr>
        <w:pStyle w:val="Normal"/>
        <w:jc w:val="right"/>
        <w:rPr>
          <w:i/>
          <w:i/>
          <w:szCs w:val="24"/>
        </w:rPr>
      </w:pPr>
      <w:r>
        <w:rPr>
          <w:i/>
          <w:szCs w:val="24"/>
        </w:rPr>
        <w:t>Приложение №1 к Техническим требованиям</w:t>
      </w:r>
    </w:p>
    <w:p>
      <w:pPr>
        <w:pStyle w:val="Normal"/>
        <w:jc w:val="right"/>
        <w:rPr>
          <w:szCs w:val="24"/>
        </w:rPr>
      </w:pPr>
      <w:r>
        <w:rPr>
          <w:szCs w:val="24"/>
        </w:rPr>
      </w:r>
    </w:p>
    <w:p>
      <w:pPr>
        <w:pStyle w:val="Normal"/>
        <w:widowControl w:val="false"/>
        <w:suppressAutoHyphens w:val="false"/>
        <w:jc w:val="center"/>
        <w:rPr>
          <w:b/>
          <w:szCs w:val="24"/>
        </w:rPr>
      </w:pPr>
      <w:r>
        <w:rPr>
          <w:b/>
          <w:szCs w:val="24"/>
        </w:rPr>
        <w:t>ВЕДОМОСТЬ ОБЪЕМОВ РАБОТ</w:t>
      </w:r>
    </w:p>
    <w:p>
      <w:pPr>
        <w:pStyle w:val="Normal"/>
        <w:rPr>
          <w:i/>
          <w:i/>
          <w:szCs w:val="24"/>
        </w:rPr>
      </w:pPr>
      <w:r>
        <w:rPr>
          <w:b/>
          <w:szCs w:val="24"/>
        </w:rPr>
        <w:t xml:space="preserve">                  </w:t>
      </w:r>
      <w:r>
        <w:rPr>
          <w:b w:val="false"/>
          <w:bCs w:val="false"/>
          <w:i w:val="false"/>
          <w:iCs w:val="false"/>
          <w:szCs w:val="24"/>
        </w:rPr>
        <w:t xml:space="preserve">   </w:t>
      </w:r>
      <w:r>
        <w:rPr>
          <w:b w:val="false"/>
          <w:bCs w:val="false"/>
          <w:i w:val="false"/>
          <w:iCs w:val="false"/>
          <w:szCs w:val="24"/>
        </w:rPr>
        <w:t>Р</w:t>
      </w:r>
      <w:r>
        <w:rPr>
          <w:b w:val="false"/>
          <w:bCs w:val="false"/>
          <w:i w:val="false"/>
          <w:iCs w:val="false"/>
          <w:szCs w:val="24"/>
        </w:rPr>
        <w:t>емонт регулятора безопасности газотурбинной установки</w:t>
      </w:r>
    </w:p>
    <w:p>
      <w:pPr>
        <w:pStyle w:val="Normal"/>
        <w:rPr>
          <w:b w:val="false"/>
          <w:bCs w:val="false"/>
          <w:i w:val="false"/>
          <w:i w:val="false"/>
          <w:iCs w:val="false"/>
          <w:sz w:val="28"/>
        </w:rPr>
      </w:pPr>
      <w:r>
        <w:rPr>
          <w:b w:val="false"/>
          <w:bCs w:val="false"/>
          <w:i w:val="false"/>
          <w:iCs w:val="false"/>
          <w:sz w:val="28"/>
        </w:rPr>
      </w:r>
    </w:p>
    <w:p>
      <w:pPr>
        <w:pStyle w:val="Normal"/>
        <w:rPr>
          <w:i/>
          <w:i/>
          <w:sz w:val="28"/>
        </w:rPr>
      </w:pPr>
      <w:r>
        <w:rPr>
          <w:i/>
          <w:sz w:val="28"/>
        </w:rPr>
      </w:r>
    </w:p>
    <w:tbl>
      <w:tblPr>
        <w:tblpPr w:bottomFromText="0" w:horzAnchor="margin" w:leftFromText="180" w:rightFromText="180" w:tblpX="0" w:tblpY="2769" w:topFromText="0" w:vertAnchor="page"/>
        <w:tblW w:w="9923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43"/>
        <w:gridCol w:w="4744"/>
        <w:gridCol w:w="2260"/>
        <w:gridCol w:w="1134"/>
        <w:gridCol w:w="1142"/>
      </w:tblGrid>
      <w:tr>
        <w:trPr>
          <w:trHeight w:val="720" w:hRule="atLeast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№ </w:t>
            </w:r>
            <w:r>
              <w:rPr>
                <w:color w:val="000000"/>
                <w:szCs w:val="24"/>
              </w:rPr>
              <w:t>п/п</w:t>
            </w:r>
          </w:p>
        </w:tc>
        <w:tc>
          <w:tcPr>
            <w:tcW w:w="47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Наименование</w:t>
            </w:r>
          </w:p>
        </w:tc>
        <w:tc>
          <w:tcPr>
            <w:tcW w:w="22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Обозначение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Ед. изм.</w:t>
            </w:r>
          </w:p>
        </w:tc>
        <w:tc>
          <w:tcPr>
            <w:tcW w:w="11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Кол.</w:t>
            </w:r>
          </w:p>
        </w:tc>
      </w:tr>
      <w:tr>
        <w:trPr>
          <w:trHeight w:val="240" w:hRule="atLeast"/>
        </w:trPr>
        <w:tc>
          <w:tcPr>
            <w:tcW w:w="6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474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22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11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>
        <w:trPr>
          <w:trHeight w:val="543" w:hRule="atLeast"/>
        </w:trPr>
        <w:tc>
          <w:tcPr>
            <w:tcW w:w="6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474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Разборка камер и колец №№1,2 с чисткой и осмотром деталей. Промывка камер подвода масла к кольцам с заменой внутренних уплотняющих элементов колец №№1,2. Сборка и настройка регулятора безопасности.</w:t>
            </w:r>
          </w:p>
        </w:tc>
        <w:tc>
          <w:tcPr>
            <w:tcW w:w="226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Cs w:val="24"/>
              </w:rPr>
            </w:pPr>
            <w:r>
              <w:rPr/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шт</w:t>
            </w:r>
          </w:p>
        </w:tc>
        <w:tc>
          <w:tcPr>
            <w:tcW w:w="1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</w:tr>
    </w:tbl>
    <w:p>
      <w:pPr>
        <w:pStyle w:val="Normal"/>
        <w:rPr>
          <w:i/>
          <w:i/>
          <w:szCs w:val="24"/>
        </w:rPr>
      </w:pPr>
      <w:r>
        <w:rPr>
          <w:i/>
          <w:szCs w:val="24"/>
        </w:rPr>
      </w:r>
    </w:p>
    <w:p>
      <w:pPr>
        <w:pStyle w:val="Normal"/>
        <w:rPr>
          <w:b/>
          <w:i/>
          <w:i/>
          <w:sz w:val="28"/>
        </w:rPr>
      </w:pPr>
      <w:r>
        <w:rPr>
          <w:b/>
          <w:i/>
          <w:sz w:val="28"/>
        </w:rPr>
        <w:t xml:space="preserve">    </w:t>
      </w:r>
    </w:p>
    <w:p>
      <w:pPr>
        <w:pStyle w:val="Normal"/>
        <w:rPr>
          <w:b/>
          <w:i/>
          <w:i/>
          <w:szCs w:val="24"/>
        </w:rPr>
      </w:pPr>
      <w:r>
        <w:rPr>
          <w:b/>
          <w:i/>
          <w:sz w:val="28"/>
        </w:rPr>
        <w:t xml:space="preserve">    </w:t>
      </w:r>
    </w:p>
    <w:p>
      <w:pPr>
        <w:pStyle w:val="Normal"/>
        <w:rPr>
          <w:b/>
          <w:i/>
          <w:i/>
          <w:szCs w:val="24"/>
        </w:rPr>
      </w:pPr>
      <w:r>
        <w:rPr>
          <w:b/>
          <w:i/>
          <w:szCs w:val="24"/>
        </w:rPr>
        <w:t xml:space="preserve">      </w:t>
      </w:r>
    </w:p>
    <w:p>
      <w:pPr>
        <w:pStyle w:val="Normal"/>
        <w:rPr>
          <w:b/>
          <w:szCs w:val="24"/>
        </w:rPr>
      </w:pPr>
      <w:r>
        <w:rPr>
          <w:b/>
          <w:i/>
          <w:szCs w:val="24"/>
        </w:rPr>
        <w:t xml:space="preserve">   </w:t>
      </w:r>
    </w:p>
    <w:p>
      <w:pPr>
        <w:pStyle w:val="Normal"/>
        <w:rPr>
          <w:b/>
          <w:szCs w:val="24"/>
        </w:rPr>
      </w:pPr>
      <w:r>
        <w:rPr/>
      </w:r>
    </w:p>
    <w:p>
      <w:pPr>
        <w:pStyle w:val="Normal"/>
        <w:rPr>
          <w:b/>
          <w:szCs w:val="24"/>
        </w:rPr>
      </w:pPr>
      <w:r>
        <w:rPr/>
      </w:r>
    </w:p>
    <w:p>
      <w:pPr>
        <w:pStyle w:val="Normal"/>
        <w:rPr>
          <w:b/>
          <w:szCs w:val="24"/>
        </w:rPr>
      </w:pPr>
      <w:r>
        <w:rPr/>
      </w:r>
    </w:p>
    <w:p>
      <w:pPr>
        <w:pStyle w:val="Normal"/>
        <w:rPr>
          <w:b/>
          <w:szCs w:val="24"/>
        </w:rPr>
      </w:pPr>
      <w:r>
        <w:rPr/>
      </w:r>
    </w:p>
    <w:p>
      <w:pPr>
        <w:pStyle w:val="Normal"/>
        <w:rPr>
          <w:b/>
          <w:szCs w:val="24"/>
        </w:rPr>
      </w:pPr>
      <w:r>
        <w:rPr/>
      </w:r>
    </w:p>
    <w:p>
      <w:pPr>
        <w:pStyle w:val="Normal"/>
        <w:rPr>
          <w:b/>
          <w:szCs w:val="24"/>
        </w:rPr>
      </w:pPr>
      <w:r>
        <w:rPr/>
      </w:r>
    </w:p>
    <w:p>
      <w:pPr>
        <w:pStyle w:val="Normal"/>
        <w:rPr>
          <w:b/>
          <w:szCs w:val="24"/>
        </w:rPr>
      </w:pPr>
      <w:r>
        <w:rPr/>
      </w:r>
    </w:p>
    <w:p>
      <w:pPr>
        <w:pStyle w:val="Normal"/>
        <w:rPr>
          <w:b/>
          <w:szCs w:val="24"/>
        </w:rPr>
      </w:pPr>
      <w:r>
        <w:rPr/>
      </w:r>
    </w:p>
    <w:p>
      <w:pPr>
        <w:pStyle w:val="Normal"/>
        <w:rPr>
          <w:b/>
          <w:szCs w:val="24"/>
        </w:rPr>
      </w:pPr>
      <w:r>
        <w:rPr/>
      </w:r>
    </w:p>
    <w:p>
      <w:pPr>
        <w:pStyle w:val="Normal"/>
        <w:rPr>
          <w:b/>
          <w:szCs w:val="24"/>
        </w:rPr>
      </w:pPr>
      <w:r>
        <w:rPr/>
      </w:r>
    </w:p>
    <w:p>
      <w:pPr>
        <w:pStyle w:val="Normal"/>
        <w:rPr>
          <w:b/>
          <w:szCs w:val="24"/>
        </w:rPr>
      </w:pPr>
      <w:r>
        <w:rPr/>
      </w:r>
    </w:p>
    <w:p>
      <w:pPr>
        <w:pStyle w:val="Normal"/>
        <w:rPr>
          <w:b/>
          <w:szCs w:val="24"/>
        </w:rPr>
      </w:pPr>
      <w:r>
        <w:rPr/>
      </w:r>
    </w:p>
    <w:p>
      <w:pPr>
        <w:pStyle w:val="Normal"/>
        <w:rPr>
          <w:b/>
          <w:szCs w:val="24"/>
        </w:rPr>
      </w:pPr>
      <w:r>
        <w:rPr/>
      </w:r>
    </w:p>
    <w:p>
      <w:pPr>
        <w:pStyle w:val="Normal"/>
        <w:rPr>
          <w:b/>
          <w:szCs w:val="24"/>
        </w:rPr>
      </w:pPr>
      <w:r>
        <w:rPr/>
      </w:r>
    </w:p>
    <w:p>
      <w:pPr>
        <w:pStyle w:val="Normal"/>
        <w:rPr>
          <w:b/>
          <w:szCs w:val="24"/>
        </w:rPr>
      </w:pPr>
      <w:r>
        <w:rPr/>
      </w:r>
    </w:p>
    <w:p>
      <w:pPr>
        <w:pStyle w:val="Normal"/>
        <w:rPr>
          <w:b/>
          <w:szCs w:val="24"/>
        </w:rPr>
      </w:pPr>
      <w:r>
        <w:rPr/>
      </w:r>
    </w:p>
    <w:p>
      <w:pPr>
        <w:pStyle w:val="Normal"/>
        <w:rPr>
          <w:b/>
          <w:szCs w:val="24"/>
        </w:rPr>
      </w:pPr>
      <w:r>
        <w:rPr/>
      </w:r>
    </w:p>
    <w:p>
      <w:pPr>
        <w:pStyle w:val="Normal"/>
        <w:rPr>
          <w:b/>
          <w:szCs w:val="24"/>
        </w:rPr>
      </w:pPr>
      <w:r>
        <w:rPr/>
      </w:r>
    </w:p>
    <w:p>
      <w:pPr>
        <w:pStyle w:val="Normal"/>
        <w:rPr>
          <w:b/>
          <w:szCs w:val="24"/>
        </w:rPr>
      </w:pPr>
      <w:r>
        <w:rPr/>
      </w:r>
    </w:p>
    <w:p>
      <w:pPr>
        <w:pStyle w:val="Normal"/>
        <w:spacing w:lineRule="auto" w:line="360" w:before="0" w:after="200"/>
        <w:jc w:val="both"/>
        <w:rPr/>
      </w:pPr>
      <w:r>
        <w:rPr/>
      </w:r>
    </w:p>
    <w:p>
      <w:pPr>
        <w:pStyle w:val="Normal"/>
        <w:spacing w:lineRule="auto" w:line="360"/>
        <w:jc w:val="both"/>
        <w:rPr/>
      </w:pPr>
      <w:r>
        <w:rPr/>
        <w:t xml:space="preserve">    </w:t>
      </w:r>
    </w:p>
    <w:p>
      <w:pPr>
        <w:pStyle w:val="Normal"/>
        <w:jc w:val="right"/>
        <w:rPr>
          <w:szCs w:val="24"/>
        </w:rPr>
      </w:pPr>
      <w:r>
        <w:rPr>
          <w:szCs w:val="24"/>
        </w:rPr>
      </w:r>
    </w:p>
    <w:p>
      <w:pPr>
        <w:pStyle w:val="Normal"/>
        <w:jc w:val="right"/>
        <w:rPr>
          <w:szCs w:val="24"/>
        </w:rPr>
      </w:pPr>
      <w:r>
        <w:rPr>
          <w:szCs w:val="24"/>
        </w:rPr>
      </w:r>
    </w:p>
    <w:p>
      <w:pPr>
        <w:pStyle w:val="Normal"/>
        <w:jc w:val="right"/>
        <w:rPr>
          <w:szCs w:val="24"/>
        </w:rPr>
      </w:pPr>
      <w:r>
        <w:rPr>
          <w:szCs w:val="24"/>
        </w:rPr>
      </w:r>
    </w:p>
    <w:p>
      <w:pPr>
        <w:pStyle w:val="Normal"/>
        <w:jc w:val="right"/>
        <w:rPr>
          <w:szCs w:val="24"/>
        </w:rPr>
      </w:pPr>
      <w:r>
        <w:rPr>
          <w:szCs w:val="24"/>
        </w:rPr>
      </w:r>
    </w:p>
    <w:p>
      <w:pPr>
        <w:pStyle w:val="Normal"/>
        <w:jc w:val="right"/>
        <w:rPr>
          <w:szCs w:val="24"/>
        </w:rPr>
      </w:pPr>
      <w:r>
        <w:rPr>
          <w:szCs w:val="24"/>
        </w:rPr>
      </w:r>
    </w:p>
    <w:p>
      <w:pPr>
        <w:pStyle w:val="Normal"/>
        <w:jc w:val="right"/>
        <w:rPr>
          <w:szCs w:val="24"/>
        </w:rPr>
      </w:pPr>
      <w:r>
        <w:rPr>
          <w:szCs w:val="24"/>
        </w:rPr>
      </w:r>
    </w:p>
    <w:p>
      <w:pPr>
        <w:pStyle w:val="Normal"/>
        <w:jc w:val="right"/>
        <w:rPr>
          <w:szCs w:val="24"/>
        </w:rPr>
      </w:pPr>
      <w:r>
        <w:rPr>
          <w:szCs w:val="24"/>
        </w:rPr>
      </w:r>
    </w:p>
    <w:p>
      <w:pPr>
        <w:pStyle w:val="Normal"/>
        <w:jc w:val="right"/>
        <w:rPr>
          <w:szCs w:val="24"/>
        </w:rPr>
      </w:pPr>
      <w:r>
        <w:rPr>
          <w:szCs w:val="24"/>
        </w:rPr>
      </w:r>
    </w:p>
    <w:p>
      <w:pPr>
        <w:pStyle w:val="Normal"/>
        <w:jc w:val="right"/>
        <w:rPr>
          <w:szCs w:val="24"/>
        </w:rPr>
      </w:pPr>
      <w:r>
        <w:rPr>
          <w:szCs w:val="24"/>
        </w:rPr>
      </w:r>
      <w:bookmarkStart w:id="60" w:name="_GoBack"/>
      <w:bookmarkStart w:id="61" w:name="_GoBack"/>
      <w:bookmarkEnd w:id="61"/>
    </w:p>
    <w:p>
      <w:pPr>
        <w:pStyle w:val="Normal"/>
        <w:rPr>
          <w:szCs w:val="24"/>
        </w:rPr>
      </w:pPr>
      <w:r>
        <w:rPr>
          <w:szCs w:val="24"/>
        </w:rPr>
      </w:r>
    </w:p>
    <w:p>
      <w:pPr>
        <w:pStyle w:val="Normal"/>
        <w:jc w:val="right"/>
        <w:rPr>
          <w:szCs w:val="24"/>
        </w:rPr>
      </w:pPr>
      <w:r>
        <w:rPr>
          <w:i/>
          <w:szCs w:val="24"/>
        </w:rPr>
        <w:t>Приложение №2 к Техническим требованиям</w:t>
      </w:r>
    </w:p>
    <w:p>
      <w:pPr>
        <w:pStyle w:val="Normal"/>
        <w:jc w:val="right"/>
        <w:rPr>
          <w:i/>
          <w:i/>
          <w:szCs w:val="24"/>
        </w:rPr>
      </w:pPr>
      <w:r>
        <w:rPr>
          <w:i/>
          <w:szCs w:val="24"/>
        </w:rPr>
      </w:r>
    </w:p>
    <w:p>
      <w:pPr>
        <w:pStyle w:val="NoSpacing"/>
        <w:jc w:val="center"/>
        <w:rPr/>
      </w:pPr>
      <w:bookmarkStart w:id="62" w:name="_Toc54451385"/>
      <w:bookmarkStart w:id="63" w:name="_Toc124950369"/>
      <w:r>
        <w:rPr>
          <w:b/>
        </w:rPr>
        <w:t>Требования к оформлению и составлению документации по ценообразованию</w:t>
      </w:r>
      <w:bookmarkEnd w:id="62"/>
      <w:bookmarkEnd w:id="63"/>
    </w:p>
    <w:p>
      <w:pPr>
        <w:pStyle w:val="Normal"/>
        <w:rPr>
          <w:szCs w:val="24"/>
          <w:lang w:val="x-none" w:eastAsia="x-none"/>
        </w:rPr>
      </w:pPr>
      <w:r>
        <w:rPr>
          <w:szCs w:val="24"/>
          <w:lang w:val="x-none" w:eastAsia="x-none"/>
        </w:rPr>
      </w:r>
      <w:bookmarkStart w:id="64" w:name="_Hlk48224758_Копия_1"/>
      <w:bookmarkStart w:id="65" w:name="_Ref40301253_Копия_1"/>
      <w:bookmarkStart w:id="66" w:name="_Hlk48224758_Копия_1"/>
      <w:bookmarkStart w:id="67" w:name="_Ref40301253_Копия_1"/>
      <w:bookmarkEnd w:id="66"/>
      <w:bookmarkEnd w:id="67"/>
    </w:p>
    <w:p>
      <w:pPr>
        <w:pStyle w:val="Normal"/>
        <w:rPr>
          <w:szCs w:val="24"/>
        </w:rPr>
      </w:pPr>
      <w:r>
        <w:rPr>
          <w:szCs w:val="24"/>
        </w:rPr>
        <w:t>1.</w:t>
        <w:tab/>
        <w:t>Стоимость предложений участников определяется по формуле:</w:t>
      </w:r>
    </w:p>
    <w:p>
      <w:pPr>
        <w:pStyle w:val="Normal"/>
        <w:jc w:val="center"/>
        <w:rPr>
          <w:szCs w:val="24"/>
        </w:rPr>
      </w:pPr>
      <w:r>
        <w:rPr>
          <w:szCs w:val="24"/>
        </w:rPr>
        <w:t>P=N*k,</w:t>
      </w:r>
    </w:p>
    <w:p>
      <w:pPr>
        <w:pStyle w:val="Normal"/>
        <w:rPr>
          <w:szCs w:val="24"/>
        </w:rPr>
      </w:pPr>
      <w:r>
        <w:rPr>
          <w:szCs w:val="24"/>
        </w:rPr>
      </w:r>
    </w:p>
    <w:p>
      <w:pPr>
        <w:pStyle w:val="Normal"/>
        <w:jc w:val="both"/>
        <w:rPr>
          <w:szCs w:val="24"/>
        </w:rPr>
      </w:pPr>
      <w:r>
        <w:rPr>
          <w:szCs w:val="24"/>
        </w:rPr>
        <w:t>где  P – стоимость предложения участника;</w:t>
      </w:r>
    </w:p>
    <w:p>
      <w:pPr>
        <w:pStyle w:val="Normal"/>
        <w:jc w:val="both"/>
        <w:rPr>
          <w:szCs w:val="24"/>
        </w:rPr>
      </w:pPr>
      <w:r>
        <w:rPr>
          <w:szCs w:val="24"/>
        </w:rPr>
        <w:t>N – начальная (максимальная) цена договорная (цена лота), определенная в соответствии со сметной документацией Заказчика, представленной в составе Документации о закупке;</w:t>
      </w:r>
    </w:p>
    <w:p>
      <w:pPr>
        <w:pStyle w:val="Normal"/>
        <w:jc w:val="both"/>
        <w:rPr>
          <w:szCs w:val="24"/>
        </w:rPr>
      </w:pPr>
      <w:r>
        <w:rPr>
          <w:szCs w:val="24"/>
        </w:rPr>
        <w:t>k  – понижающий коэффициент, заявленный участником в расчете цен заявки, величину данного коэффициента рекомендуется учитывать с округлением до 3 знаков после запятой.</w:t>
      </w:r>
    </w:p>
    <w:p>
      <w:pPr>
        <w:pStyle w:val="Normal"/>
        <w:jc w:val="both"/>
        <w:rPr>
          <w:szCs w:val="24"/>
        </w:rPr>
      </w:pPr>
      <w:r>
        <w:rPr>
          <w:szCs w:val="24"/>
        </w:rPr>
        <w:t xml:space="preserve">       </w:t>
      </w:r>
      <w:r>
        <w:rPr>
          <w:szCs w:val="24"/>
        </w:rPr>
        <w:t>Понижающий коэффициент указывается участником в форме «Коммерческое предложение», приведенной в Документации о закупке.</w:t>
      </w:r>
    </w:p>
    <w:p>
      <w:pPr>
        <w:pStyle w:val="Normal"/>
        <w:jc w:val="both"/>
        <w:rPr>
          <w:szCs w:val="24"/>
        </w:rPr>
      </w:pPr>
      <w:r>
        <w:rPr>
          <w:szCs w:val="24"/>
        </w:rPr>
        <w:t>2.</w:t>
        <w:tab/>
        <w:t>Участник формирует стоимость своей заявки с учетом понижающего коэффициента, указанного в п. 1 настоящих требований.</w:t>
      </w:r>
    </w:p>
    <w:p>
      <w:pPr>
        <w:sectPr>
          <w:headerReference w:type="default" r:id="rId11"/>
          <w:headerReference w:type="first" r:id="rId12"/>
          <w:footerReference w:type="default" r:id="rId13"/>
          <w:type w:val="nextPage"/>
          <w:pgSz w:w="11906" w:h="16838"/>
          <w:pgMar w:left="1134" w:right="851" w:gutter="0" w:header="680" w:top="1134" w:footer="737" w:bottom="992"/>
          <w:pgNumType w:fmt="decimal"/>
          <w:formProt w:val="false"/>
          <w:titlePg/>
          <w:textDirection w:val="lrTb"/>
          <w:docGrid w:type="default" w:linePitch="381" w:charSpace="0"/>
        </w:sectPr>
        <w:pStyle w:val="Normal"/>
        <w:jc w:val="both"/>
        <w:rPr>
          <w:szCs w:val="24"/>
        </w:rPr>
      </w:pPr>
      <w:r>
        <w:rPr>
          <w:szCs w:val="24"/>
        </w:rPr>
        <w:t>3.</w:t>
        <w:tab/>
        <w:t>Внесение изменений в сметную документацию Заказчика, кроме применения понижающего коэффициента, не допускается.</w:t>
      </w:r>
      <w:r>
        <w:br w:type="page"/>
      </w:r>
    </w:p>
    <w:p>
      <w:pPr>
        <w:pStyle w:val="Normal"/>
        <w:jc w:val="right"/>
        <w:rPr>
          <w:szCs w:val="24"/>
        </w:rPr>
      </w:pPr>
      <w:r>
        <w:rPr>
          <w:i/>
          <w:szCs w:val="24"/>
        </w:rPr>
        <w:t>Приложение №3 к Техническим требованиям</w:t>
      </w:r>
    </w:p>
    <w:p>
      <w:pPr>
        <w:pStyle w:val="Normal"/>
        <w:jc w:val="center"/>
        <w:rPr>
          <w:szCs w:val="24"/>
        </w:rPr>
      </w:pPr>
      <w:r>
        <w:rPr>
          <w:bCs/>
          <w:i/>
          <w:szCs w:val="24"/>
        </w:rPr>
        <w:t>Сметная документация</w:t>
      </w:r>
    </w:p>
    <w:sectPr>
      <w:headerReference w:type="default" r:id="rId14"/>
      <w:headerReference w:type="first" r:id="rId15"/>
      <w:footerReference w:type="default" r:id="rId16"/>
      <w:footerReference w:type="first" r:id="rId17"/>
      <w:type w:val="nextPage"/>
      <w:pgSz w:orient="landscape" w:w="16838" w:h="11906"/>
      <w:pgMar w:left="992" w:right="1134" w:gutter="0" w:header="680" w:top="1134" w:footer="737" w:bottom="851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465433454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15</w:t>
        </w:r>
        <w:r>
          <w:rPr/>
          <w:fldChar w:fldCharType="end"/>
        </w:r>
      </w:p>
    </w:sdtContent>
  </w:sdt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0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10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1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11</w:t>
    </w:r>
    <w:r>
      <w:rPr/>
      <w:fldChar w:fldCharType="end"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8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15</w:t>
    </w:r>
    <w:r>
      <w:rPr/>
      <w:fldChar w:fldCharType="end"/>
    </w:r>
  </w:p>
</w:hdr>
</file>

<file path=word/header9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effect w:val="none"/>
        <w:szCs w:val="28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shadow w:val="false"/>
        <w:u w:val="none"/>
        <w:b w:val="false"/>
        <w:kern w:val="0"/>
        <w:effect w:val="none"/>
        <w:szCs w:val="24"/>
        <w:iCs w:val="false"/>
        <w:bCs w:val="false"/>
        <w:em w:val="none"/>
        <w:emboss w:val="false"/>
        <w:imprint w:val="false"/>
        <w:vanish w:val="false"/>
        <w:rFonts w:ascii="Times New Roman" w:hAnsi="Times New Roman" w:cs="Times New Roman"/>
        <w14:cntxtAlts>
          <w14:cntxtAlts/>
        </w14:cntxtAlts>
        <w14:glow w14:rad="0">
          <w14:srgbClr w14:val="000000"/>
        </w14:glow>
        <w14:ligatures w14:val="none"/>
        <w14:numForm w14:val="default"/>
        <w14:numSpacing w14:val="default"/>
        <w14:props3d w14:extrusionH="0" w14:contourW="0" w14:prstMaterial="none"/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shadow w14:blurRad="0" w14:dist="0" w14:dir="0" w14:sx="0" w14:sy="0" w14:kx="0" w14:ky="0" w14:algn="none">
          <w14:srgbClr w14:val="000000"/>
        </w14:shadow>
        <w14:stylisticSets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1353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false"/>
        <w:b w:val="fals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95" w:hanging="375"/>
      </w:pPr>
      <w:rPr>
        <w:i w:val="fals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00" w:hanging="720"/>
      </w:pPr>
      <w:rPr>
        <w:i w:val="fals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20" w:hanging="1080"/>
      </w:pPr>
      <w:rPr>
        <w:i w:val="fals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080"/>
      </w:pPr>
      <w:rPr>
        <w:i w:val="fals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600" w:hanging="1440"/>
      </w:pPr>
      <w:rPr>
        <w:i w:val="fals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440"/>
      </w:pPr>
      <w:rPr>
        <w:i w:val="fals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680" w:hanging="1800"/>
      </w:pPr>
      <w:rPr>
        <w:i w:val="fals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400" w:hanging="2160"/>
      </w:pPr>
      <w:rPr>
        <w:i w:val="false"/>
      </w:r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0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zh-TW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uiPriority="99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867094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rsid w:val="00ea61a8"/>
    <w:pPr>
      <w:outlineLvl w:val="1"/>
    </w:pPr>
    <w:rPr/>
  </w:style>
  <w:style w:type="paragraph" w:styleId="Heading3">
    <w:name w:val="Heading 3"/>
    <w:basedOn w:val="Normal"/>
    <w:next w:val="Normal"/>
    <w:link w:val="3"/>
    <w:autoRedefine/>
    <w:qFormat/>
    <w:rsid w:val="00035e96"/>
    <w:pPr>
      <w:keepNext w:val="true"/>
      <w:numPr>
        <w:ilvl w:val="2"/>
        <w:numId w:val="3"/>
      </w:numPr>
      <w:spacing w:before="120" w:after="60"/>
      <w:outlineLvl w:val="2"/>
    </w:pPr>
    <w:rPr>
      <w:rFonts w:eastAsia="Calibri"/>
      <w:b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qFormat/>
    <w:rsid w:val="006629c9"/>
    <w:pPr>
      <w:numPr>
        <w:ilvl w:val="0"/>
        <w:numId w:val="0"/>
      </w:numPr>
      <w:tabs>
        <w:tab w:val="clear" w:pos="708"/>
        <w:tab w:val="left" w:pos="0" w:leader="none"/>
      </w:tabs>
      <w:ind w:left="432" w:hanging="432"/>
      <w:outlineLvl w:val="3"/>
    </w:pPr>
    <w:rPr>
      <w:bCs/>
    </w:rPr>
  </w:style>
  <w:style w:type="paragraph" w:styleId="Heading5">
    <w:name w:val="Heading 5"/>
    <w:basedOn w:val="Normal"/>
    <w:next w:val="Normal"/>
    <w:link w:val="5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6"/>
    <w:uiPriority w:val="9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7"/>
    <w:uiPriority w:val="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8"/>
    <w:uiPriority w:val="9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9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 w:customStyle="1">
    <w:name w:val="Символ сноски"/>
    <w:qFormat/>
    <w:rsid w:val="00d561d9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Hyperlink">
    <w:name w:val="Hyperlink"/>
    <w:uiPriority w:val="99"/>
    <w:rsid w:val="006c2f3f"/>
    <w:rPr>
      <w:color w:val="0000FF"/>
      <w:u w:val="single"/>
    </w:rPr>
  </w:style>
  <w:style w:type="character" w:styleId="Annotationreference">
    <w:name w:val="annotation reference"/>
    <w:uiPriority w:val="99"/>
    <w:semiHidden/>
    <w:qFormat/>
    <w:rsid w:val="00b714b0"/>
    <w:rPr>
      <w:sz w:val="16"/>
      <w:szCs w:val="16"/>
    </w:rPr>
  </w:style>
  <w:style w:type="character" w:styleId="Strong">
    <w:name w:val="Strong"/>
    <w:qFormat/>
    <w:rsid w:val="00165965"/>
    <w:rPr>
      <w:b/>
      <w:bCs/>
    </w:rPr>
  </w:style>
  <w:style w:type="character" w:styleId="6" w:customStyle="1">
    <w:name w:val="Заголовок 6 Знак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styleId="7" w:customStyle="1">
    <w:name w:val="Заголовок 7 Знак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styleId="8" w:customStyle="1">
    <w:name w:val="Заголовок 8 Знак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styleId="1" w:customStyle="1">
    <w:name w:val="Заголовок 1 Знак"/>
    <w:qFormat/>
    <w:rsid w:val="00353a27"/>
    <w:rPr>
      <w:rFonts w:eastAsia="Calibri"/>
      <w:b/>
      <w:sz w:val="28"/>
      <w:szCs w:val="28"/>
      <w:lang w:val="x-none" w:eastAsia="x-none"/>
    </w:rPr>
  </w:style>
  <w:style w:type="character" w:styleId="2" w:customStyle="1">
    <w:name w:val="Заголовок 2 Знак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styleId="3" w:customStyle="1">
    <w:name w:val="Заголовок 3 Знак"/>
    <w:qFormat/>
    <w:rsid w:val="00035e96"/>
    <w:rPr>
      <w:rFonts w:eastAsia="Calibri"/>
      <w:b/>
      <w:sz w:val="24"/>
      <w:szCs w:val="24"/>
      <w:lang w:val="x-none" w:eastAsia="x-none"/>
    </w:rPr>
  </w:style>
  <w:style w:type="character" w:styleId="4" w:customStyle="1">
    <w:name w:val="Заголовок 4 Знак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styleId="5" w:customStyle="1">
    <w:name w:val="Заголовок 5 Знак"/>
    <w:uiPriority w:val="9"/>
    <w:qFormat/>
    <w:rsid w:val="00d22f6d"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sid w:val="00d22f6d"/>
    <w:rPr>
      <w:rFonts w:ascii="Arial" w:hAnsi="Arial" w:cs="Arial"/>
      <w:sz w:val="22"/>
      <w:szCs w:val="22"/>
    </w:rPr>
  </w:style>
  <w:style w:type="character" w:styleId="Style1" w:customStyle="1">
    <w:name w:val="Название Знак"/>
    <w:link w:val="15"/>
    <w:uiPriority w:val="10"/>
    <w:qFormat/>
    <w:rsid w:val="00d22f6d"/>
    <w:rPr>
      <w:sz w:val="28"/>
    </w:rPr>
  </w:style>
  <w:style w:type="character" w:styleId="Style2" w:customStyle="1">
    <w:name w:val="Подзаголовок Знак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uiPriority w:val="20"/>
    <w:qFormat/>
    <w:rsid w:val="00d22f6d"/>
    <w:rPr>
      <w:i/>
      <w:iCs/>
    </w:rPr>
  </w:style>
  <w:style w:type="character" w:styleId="21" w:customStyle="1">
    <w:name w:val="Цитата 2 Знак"/>
    <w:link w:val="Quote"/>
    <w:uiPriority w:val="29"/>
    <w:qFormat/>
    <w:rsid w:val="00d22f6d"/>
    <w:rPr>
      <w:rFonts w:ascii="Calibri" w:hAnsi="Calibri" w:eastAsia="Calibri"/>
      <w:i/>
      <w:iCs/>
      <w:color w:val="000000"/>
      <w:lang w:val="x-none" w:eastAsia="x-none"/>
    </w:rPr>
  </w:style>
  <w:style w:type="character" w:styleId="Style3" w:customStyle="1">
    <w:name w:val="Выделенная цитата Знак"/>
    <w:link w:val="IntenseQuote"/>
    <w:uiPriority w:val="30"/>
    <w:qFormat/>
    <w:rsid w:val="00d22f6d"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4" w:customStyle="1">
    <w:name w:val="Электронная подпись Знак"/>
    <w:link w:val="E-mailSignature"/>
    <w:uiPriority w:val="99"/>
    <w:qFormat/>
    <w:rsid w:val="00d22f6d"/>
    <w:rPr>
      <w:rFonts w:eastAsia="Calibri"/>
      <w:sz w:val="24"/>
      <w:szCs w:val="24"/>
    </w:rPr>
  </w:style>
  <w:style w:type="character" w:styleId="11" w:customStyle="1">
    <w:name w:val="Подпункт Знак1"/>
    <w:link w:val="Style24"/>
    <w:qFormat/>
    <w:locked/>
    <w:rsid w:val="00d22f6d"/>
    <w:rPr>
      <w:sz w:val="28"/>
    </w:rPr>
  </w:style>
  <w:style w:type="character" w:styleId="Style5" w:customStyle="1">
    <w:name w:val="Текст сноски Знак"/>
    <w:uiPriority w:val="99"/>
    <w:qFormat/>
    <w:rsid w:val="00d22f6d"/>
    <w:rPr/>
  </w:style>
  <w:style w:type="character" w:styleId="Style6" w:customStyle="1">
    <w:name w:val="Основной текст Знак"/>
    <w:qFormat/>
    <w:rsid w:val="004459a5"/>
    <w:rPr>
      <w:sz w:val="28"/>
      <w:szCs w:val="28"/>
    </w:rPr>
  </w:style>
  <w:style w:type="character" w:styleId="Blk" w:customStyle="1">
    <w:name w:val="blk"/>
    <w:qFormat/>
    <w:rsid w:val="00431ace"/>
    <w:rPr/>
  </w:style>
  <w:style w:type="character" w:styleId="Style7" w:customStyle="1">
    <w:name w:val="Абзац списка Знак"/>
    <w:link w:val="ListParagraph"/>
    <w:uiPriority w:val="34"/>
    <w:qFormat/>
    <w:locked/>
    <w:rsid w:val="00310eb4"/>
    <w:rPr>
      <w:rFonts w:eastAsia="Calibri"/>
      <w:sz w:val="24"/>
      <w:szCs w:val="24"/>
    </w:rPr>
  </w:style>
  <w:style w:type="character" w:styleId="Style8" w:customStyle="1">
    <w:name w:val="комментарий"/>
    <w:qFormat/>
    <w:rsid w:val="0025139e"/>
    <w:rPr>
      <w:b/>
      <w:i/>
      <w:shd w:fill="FFFF99" w:val="clear"/>
    </w:rPr>
  </w:style>
  <w:style w:type="character" w:styleId="Style9" w:customStyle="1">
    <w:name w:val="Подподпункт Знак"/>
    <w:link w:val="Style32"/>
    <w:qFormat/>
    <w:locked/>
    <w:rsid w:val="0025139e"/>
    <w:rPr>
      <w:sz w:val="26"/>
      <w:szCs w:val="26"/>
    </w:rPr>
  </w:style>
  <w:style w:type="character" w:styleId="31" w:customStyle="1">
    <w:name w:val="УРОВЕНЬ_Абзац_тип3 Знак"/>
    <w:link w:val="36"/>
    <w:qFormat/>
    <w:rsid w:val="00b56f46"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uiPriority w:val="99"/>
    <w:qFormat/>
    <w:rsid w:val="002f31af"/>
    <w:rPr>
      <w:sz w:val="24"/>
      <w:szCs w:val="24"/>
    </w:rPr>
  </w:style>
  <w:style w:type="character" w:styleId="Style11" w:customStyle="1">
    <w:name w:val="Текст примечания Знак"/>
    <w:link w:val="Annotationtext"/>
    <w:semiHidden/>
    <w:qFormat/>
    <w:rsid w:val="00dc0f7d"/>
    <w:rPr/>
  </w:style>
  <w:style w:type="character" w:styleId="Style12" w:customStyle="1">
    <w:name w:val="Текст концевой сноски Знак"/>
    <w:basedOn w:val="DefaultParagraphFont"/>
    <w:qFormat/>
    <w:rsid w:val="003879d4"/>
    <w:rPr/>
  </w:style>
  <w:style w:type="character" w:styleId="Style13" w:customStyle="1">
    <w:name w:val="Символ концевой сноски"/>
    <w:qFormat/>
    <w:rsid w:val="003879d4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2" w:customStyle="1">
    <w:name w:val="Пункт2 Знак"/>
    <w:link w:val="24"/>
    <w:qFormat/>
    <w:rsid w:val="00de52bc"/>
    <w:rPr>
      <w:b/>
      <w:sz w:val="28"/>
    </w:rPr>
  </w:style>
  <w:style w:type="character" w:styleId="12" w:customStyle="1">
    <w:name w:val="УРОВЕНЬ_1. Знак"/>
    <w:link w:val="19"/>
    <w:qFormat/>
    <w:rsid w:val="004a17ae"/>
    <w:rPr>
      <w:rFonts w:eastAsia="Calibri"/>
      <w:caps/>
      <w:sz w:val="28"/>
      <w:szCs w:val="28"/>
      <w:lang w:eastAsia="en-US"/>
    </w:rPr>
  </w:style>
  <w:style w:type="character" w:styleId="13" w:customStyle="1">
    <w:name w:val="Неразрешенное упоминание1"/>
    <w:basedOn w:val="DefaultParagraphFont"/>
    <w:uiPriority w:val="99"/>
    <w:semiHidden/>
    <w:unhideWhenUsed/>
    <w:qFormat/>
    <w:rsid w:val="00c36f30"/>
    <w:rPr>
      <w:color w:val="605E5C"/>
      <w:shd w:fill="E1DFDD" w:val="clear"/>
    </w:rPr>
  </w:style>
  <w:style w:type="character" w:styleId="32" w:customStyle="1">
    <w:name w:val="Основной текст с отступом 3 Знак"/>
    <w:link w:val="BodyTextIndent3"/>
    <w:qFormat/>
    <w:rsid w:val="00c36f30"/>
    <w:rPr>
      <w:sz w:val="16"/>
      <w:szCs w:val="16"/>
    </w:rPr>
  </w:style>
  <w:style w:type="character" w:styleId="Style14" w:customStyle="1">
    <w:name w:val="Без интервала Знак"/>
    <w:basedOn w:val="DefaultParagraphFont"/>
    <w:link w:val="NoSpacing"/>
    <w:qFormat/>
    <w:rsid w:val="0003795b"/>
    <w:rPr>
      <w:rFonts w:eastAsia="Calibri"/>
      <w:sz w:val="24"/>
      <w:szCs w:val="24"/>
    </w:rPr>
  </w:style>
  <w:style w:type="character" w:styleId="Style15" w:customStyle="1">
    <w:name w:val="Нижний колонтитул Знак"/>
    <w:basedOn w:val="DefaultParagraphFont"/>
    <w:uiPriority w:val="99"/>
    <w:qFormat/>
    <w:rsid w:val="001d0b93"/>
    <w:rPr>
      <w:sz w:val="24"/>
      <w:szCs w:val="28"/>
    </w:rPr>
  </w:style>
  <w:style w:type="character" w:styleId="FollowedHyperlink">
    <w:name w:val="FollowedHyperlink"/>
    <w:basedOn w:val="DefaultParagraphFont"/>
    <w:uiPriority w:val="99"/>
    <w:semiHidden/>
    <w:unhideWhenUsed/>
    <w:rsid w:val="00e23161"/>
    <w:rPr>
      <w:color w:val="954F72"/>
      <w:u w:val="single"/>
    </w:rPr>
  </w:style>
  <w:style w:type="character" w:styleId="Style16" w:customStyle="1">
    <w:name w:val="Ссылка указателя"/>
    <w:qFormat/>
    <w:rPr/>
  </w:style>
  <w:style w:type="character" w:styleId="Style17" w:customStyle="1">
    <w:name w:val="Маркеры"/>
    <w:qFormat/>
    <w:rPr>
      <w:rFonts w:ascii="OpenSymbol" w:hAnsi="OpenSymbol" w:eastAsia="OpenSymbol" w:cs="OpenSymbol"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link w:val="Style6"/>
    <w:rsid w:val="0076353a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 Unicode MS"/>
      <w:i/>
      <w:iCs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rFonts w:cs="Arial Unicode MS"/>
      <w:i/>
      <w:iCs/>
      <w:szCs w:val="24"/>
    </w:rPr>
  </w:style>
  <w:style w:type="paragraph" w:styleId="Indexheading11" w:customStyle="1">
    <w:name w:val="index heading11"/>
    <w:basedOn w:val="Title"/>
    <w:qFormat/>
    <w:pPr/>
    <w:rPr/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Indexheading111" w:customStyle="1">
    <w:name w:val="index heading111"/>
    <w:basedOn w:val="Title"/>
    <w:qFormat/>
    <w:pPr/>
    <w:rPr/>
  </w:style>
  <w:style w:type="paragraph" w:styleId="Caption1111" w:customStyle="1">
    <w:name w:val="caption111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Indexheading1111" w:customStyle="1">
    <w:name w:val="index heading1111"/>
    <w:basedOn w:val="Title"/>
    <w:qFormat/>
    <w:pPr/>
    <w:rPr/>
  </w:style>
  <w:style w:type="paragraph" w:styleId="Caption11111" w:customStyle="1">
    <w:name w:val="caption1111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Indexheading11111" w:customStyle="1">
    <w:name w:val="index heading11111"/>
    <w:basedOn w:val="Title"/>
    <w:qFormat/>
    <w:pPr/>
    <w:rPr/>
  </w:style>
  <w:style w:type="paragraph" w:styleId="Caption111111" w:customStyle="1">
    <w:name w:val="caption11111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Indexheading111111" w:customStyle="1">
    <w:name w:val="index heading111111"/>
    <w:basedOn w:val="Title"/>
    <w:qFormat/>
    <w:pPr/>
    <w:rPr/>
  </w:style>
  <w:style w:type="paragraph" w:styleId="Style20" w:customStyle="1">
    <w:name w:val="Название раздела инструкции"/>
    <w:basedOn w:val="Normal"/>
    <w:autoRedefine/>
    <w:qFormat/>
    <w:rsid w:val="00275328"/>
    <w:pPr>
      <w:jc w:val="center"/>
    </w:pPr>
    <w:rPr>
      <w:b/>
    </w:rPr>
  </w:style>
  <w:style w:type="paragraph" w:styleId="Style21" w:customStyle="1">
    <w:name w:val="Раздел положения"/>
    <w:basedOn w:val="Normal"/>
    <w:autoRedefine/>
    <w:qFormat/>
    <w:rsid w:val="007475ee"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22" w:customStyle="1">
    <w:name w:val="Подраздел раздела положения"/>
    <w:basedOn w:val="Normal"/>
    <w:autoRedefine/>
    <w:qFormat/>
    <w:rsid w:val="007475ee"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5"/>
    <w:uiPriority w:val="99"/>
    <w:rsid w:val="00d561d9"/>
    <w:pPr/>
    <w:rPr>
      <w:sz w:val="20"/>
      <w:szCs w:val="20"/>
    </w:rPr>
  </w:style>
  <w:style w:type="paragraph" w:styleId="14" w:customStyle="1">
    <w:name w:val="Шапка 1"/>
    <w:basedOn w:val="Normal"/>
    <w:qFormat/>
    <w:rsid w:val="00d561d9"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rsid w:val="00d561d9"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3" w:customStyle="1">
    <w:name w:val="Шапка 3"/>
    <w:basedOn w:val="Normal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Cs w:val="24"/>
    </w:rPr>
  </w:style>
  <w:style w:type="paragraph" w:styleId="15" w:customStyle="1">
    <w:name w:val="Название1"/>
    <w:basedOn w:val="Normal"/>
    <w:link w:val="Style1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Style23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rsid w:val="0076353a"/>
    <w:pPr>
      <w:tabs>
        <w:tab w:val="clear" w:pos="708"/>
        <w:tab w:val="center" w:pos="4677" w:leader="none"/>
        <w:tab w:val="right" w:pos="9355" w:leader="none"/>
      </w:tabs>
    </w:pPr>
    <w:rPr>
      <w:szCs w:val="24"/>
    </w:rPr>
  </w:style>
  <w:style w:type="paragraph" w:styleId="BodyTextIndent">
    <w:name w:val="Body Text Indent"/>
    <w:basedOn w:val="Normal"/>
    <w:rsid w:val="0076353a"/>
    <w:pPr>
      <w:ind w:left="360" w:hanging="0"/>
    </w:pPr>
    <w:rPr>
      <w:szCs w:val="24"/>
    </w:rPr>
  </w:style>
  <w:style w:type="paragraph" w:styleId="Footer">
    <w:name w:val="Footer"/>
    <w:basedOn w:val="Normal"/>
    <w:link w:val="Style15"/>
    <w:uiPriority w:val="99"/>
    <w:rsid w:val="007635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76353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2"/>
    <w:qFormat/>
    <w:rsid w:val="0076353a"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qFormat/>
    <w:rsid w:val="0076353a"/>
    <w:pPr>
      <w:ind w:left="-567" w:right="-766" w:hanging="0"/>
      <w:jc w:val="center"/>
    </w:pPr>
    <w:rPr>
      <w:b/>
      <w:bCs/>
      <w:szCs w:val="20"/>
    </w:rPr>
  </w:style>
  <w:style w:type="paragraph" w:styleId="Style24" w:customStyle="1">
    <w:name w:val="Подпункт"/>
    <w:basedOn w:val="Normal"/>
    <w:link w:val="11"/>
    <w:qFormat/>
    <w:rsid w:val="0076353a"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x-none" w:eastAsia="x-none"/>
    </w:rPr>
  </w:style>
  <w:style w:type="paragraph" w:styleId="24" w:customStyle="1">
    <w:name w:val="Пункт2"/>
    <w:basedOn w:val="Normal"/>
    <w:link w:val="22"/>
    <w:qFormat/>
    <w:rsid w:val="0076353a"/>
    <w:pPr>
      <w:keepNext w:val="true"/>
      <w:tabs>
        <w:tab w:val="clear" w:pos="708"/>
        <w:tab w:val="left" w:pos="1134" w:leader="none"/>
      </w:tabs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autoRedefine/>
    <w:uiPriority w:val="39"/>
    <w:rsid w:val="001567af"/>
    <w:pPr>
      <w:spacing w:before="120" w:after="0"/>
    </w:pPr>
    <w:rPr>
      <w:rFonts w:cs="Calibri Light (Заголовки)"/>
      <w:b/>
      <w:bCs/>
      <w:szCs w:val="24"/>
    </w:rPr>
  </w:style>
  <w:style w:type="paragraph" w:styleId="TOC3">
    <w:name w:val="TOC 3"/>
    <w:basedOn w:val="Normal"/>
    <w:next w:val="Normal"/>
    <w:autoRedefine/>
    <w:uiPriority w:val="39"/>
    <w:rsid w:val="00e23161"/>
    <w:pPr>
      <w:tabs>
        <w:tab w:val="clear" w:pos="708"/>
        <w:tab w:val="left" w:pos="1134" w:leader="none"/>
        <w:tab w:val="right" w:pos="9911" w:leader="dot"/>
      </w:tabs>
      <w:ind w:left="280" w:hanging="0"/>
    </w:pPr>
    <w:rPr>
      <w:rFonts w:cs="Calibri" w:cstheme="minorHAnsi"/>
      <w:sz w:val="20"/>
      <w:szCs w:val="20"/>
    </w:rPr>
  </w:style>
  <w:style w:type="paragraph" w:styleId="Style25" w:customStyle="1">
    <w:name w:val="Раздел регламента"/>
    <w:basedOn w:val="Normal"/>
    <w:qFormat/>
    <w:rsid w:val="00e228fa"/>
    <w:pPr/>
    <w:rPr/>
  </w:style>
  <w:style w:type="paragraph" w:styleId="Style26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TOC2">
    <w:name w:val="TOC 2"/>
    <w:basedOn w:val="Normal"/>
    <w:next w:val="Normal"/>
    <w:autoRedefine/>
    <w:uiPriority w:val="39"/>
    <w:rsid w:val="00c01756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BalloonText">
    <w:name w:val="Balloon Text"/>
    <w:basedOn w:val="Normal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1"/>
    <w:semiHidden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rsid w:val="00b714b0"/>
    <w:pPr/>
    <w:rPr>
      <w:b/>
      <w:bCs/>
    </w:rPr>
  </w:style>
  <w:style w:type="paragraph" w:styleId="16" w:customStyle="1">
    <w:name w:val="Обычный (веб)1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Cs w:val="24"/>
    </w:rPr>
  </w:style>
  <w:style w:type="paragraph" w:styleId="TOC9">
    <w:name w:val="TOC 9"/>
    <w:basedOn w:val="Normal"/>
    <w:next w:val="Normal"/>
    <w:autoRedefine/>
    <w:semiHidden/>
    <w:rsid w:val="00f57628"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semiHidden/>
    <w:rsid w:val="00f57628"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c01756"/>
    <w:pPr>
      <w:ind w:left="560" w:hanging="0"/>
    </w:pPr>
    <w:rPr>
      <w:rFonts w:cs="Calibri" w:cstheme="minorHAnsi"/>
      <w:sz w:val="20"/>
      <w:szCs w:val="20"/>
    </w:rPr>
  </w:style>
  <w:style w:type="paragraph" w:styleId="25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27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link w:val="Style14"/>
    <w:qFormat/>
    <w:rsid w:val="00d22f6d"/>
    <w:pPr>
      <w:spacing w:lineRule="auto" w:line="360"/>
    </w:pPr>
    <w:rPr>
      <w:rFonts w:eastAsia="Calibri"/>
      <w:szCs w:val="24"/>
    </w:rPr>
  </w:style>
  <w:style w:type="paragraph" w:styleId="Caption1111111" w:customStyle="1">
    <w:name w:val="caption1111111"/>
    <w:basedOn w:val="Normal"/>
    <w:next w:val="Normal"/>
    <w:uiPriority w:val="35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tyle2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Cs w:val="24"/>
      <w:lang w:val="x-none" w:eastAsia="x-none"/>
    </w:rPr>
  </w:style>
  <w:style w:type="paragraph" w:styleId="ListParagraph">
    <w:name w:val="List Paragraph"/>
    <w:basedOn w:val="Normal"/>
    <w:link w:val="Style7"/>
    <w:uiPriority w:val="34"/>
    <w:qFormat/>
    <w:rsid w:val="00d22f6d"/>
    <w:pPr>
      <w:spacing w:before="0" w:after="0"/>
      <w:ind w:left="720" w:hanging="0"/>
      <w:contextualSpacing/>
    </w:pPr>
    <w:rPr>
      <w:rFonts w:eastAsia="Calibri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Style3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IndexHeading">
    <w:name w:val="Index Heading"/>
    <w:basedOn w:val="Style18"/>
    <w:pPr/>
    <w:rPr/>
  </w:style>
  <w:style w:type="paragraph" w:styleId="TOCHeading">
    <w:name w:val="TOC Heading"/>
    <w:basedOn w:val="Heading1"/>
    <w:next w:val="Normal"/>
    <w:uiPriority w:val="39"/>
    <w:qFormat/>
    <w:rsid w:val="00d22f6d"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4"/>
    <w:uiPriority w:val="99"/>
    <w:unhideWhenUsed/>
    <w:qFormat/>
    <w:rsid w:val="00d22f6d"/>
    <w:pPr/>
    <w:rPr>
      <w:rFonts w:eastAsia="Calibri"/>
      <w:szCs w:val="24"/>
      <w:lang w:val="x-none" w:eastAsia="x-none"/>
    </w:rPr>
  </w:style>
  <w:style w:type="paragraph" w:styleId="Style28" w:customStyle="1">
    <w:name w:val="Знак"/>
    <w:basedOn w:val="Normal"/>
    <w:qFormat/>
    <w:rsid w:val="00d22f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4" w:customStyle="1">
    <w:name w:val="Нумерованный список ур3"/>
    <w:basedOn w:val="Normal"/>
    <w:qFormat/>
    <w:rsid w:val="00d22f6d"/>
    <w:pPr>
      <w:numPr>
        <w:ilvl w:val="2"/>
        <w:numId w:val="2"/>
      </w:numPr>
      <w:jc w:val="both"/>
    </w:pPr>
    <w:rPr>
      <w:rFonts w:ascii="Garamond" w:hAnsi="Garamond"/>
      <w:szCs w:val="20"/>
    </w:rPr>
  </w:style>
  <w:style w:type="paragraph" w:styleId="41" w:customStyle="1">
    <w:name w:val="Маркированный список 41"/>
    <w:basedOn w:val="Normal"/>
    <w:qFormat/>
    <w:rsid w:val="00d22f6d"/>
    <w:pPr>
      <w:numPr>
        <w:ilvl w:val="0"/>
        <w:numId w:val="2"/>
      </w:numPr>
      <w:spacing w:before="120" w:after="0"/>
      <w:jc w:val="both"/>
    </w:pPr>
    <w:rPr>
      <w:rFonts w:ascii="Garamond" w:hAnsi="Garamond"/>
      <w:szCs w:val="20"/>
    </w:rPr>
  </w:style>
  <w:style w:type="paragraph" w:styleId="26" w:customStyle="1">
    <w:name w:val="Нумерованный список ур2"/>
    <w:basedOn w:val="Normal"/>
    <w:qFormat/>
    <w:rsid w:val="00d22f6d"/>
    <w:pPr>
      <w:numPr>
        <w:ilvl w:val="1"/>
        <w:numId w:val="2"/>
      </w:numPr>
      <w:spacing w:before="120" w:after="0"/>
      <w:jc w:val="both"/>
    </w:pPr>
    <w:rPr>
      <w:rFonts w:ascii="Garamond" w:hAnsi="Garamond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d22f6d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5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9" w:customStyle="1">
    <w:name w:val="Пункт"/>
    <w:basedOn w:val="Normal"/>
    <w:qFormat/>
    <w:rsid w:val="00d22f6d"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7" w:customStyle="1">
    <w:name w:val="Абзац списка1"/>
    <w:basedOn w:val="Normal"/>
    <w:qFormat/>
    <w:rsid w:val="00d22f6d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30" w:customStyle="1">
    <w:name w:val="Таблица"/>
    <w:basedOn w:val="Normal"/>
    <w:qFormat/>
    <w:rsid w:val="0041356c"/>
    <w:pPr>
      <w:keepNext w:val="true"/>
      <w:spacing w:before="60" w:after="60"/>
      <w:jc w:val="center"/>
    </w:pPr>
    <w:rPr>
      <w:rFonts w:eastAsia="Calibri"/>
      <w:b/>
      <w:szCs w:val="24"/>
      <w:lang w:val="x-none" w:eastAsia="x-none"/>
    </w:rPr>
  </w:style>
  <w:style w:type="paragraph" w:styleId="Style31" w:customStyle="1">
    <w:name w:val="Таблица шапка"/>
    <w:basedOn w:val="Normal"/>
    <w:qFormat/>
    <w:rsid w:val="00f64089"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32" w:customStyle="1">
    <w:name w:val="Подподпункт"/>
    <w:basedOn w:val="Style24"/>
    <w:link w:val="Style9"/>
    <w:qFormat/>
    <w:rsid w:val="0025139e"/>
    <w:pPr>
      <w:tabs>
        <w:tab w:val="clear" w:pos="1134"/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33" w:customStyle="1">
    <w:name w:val="УРОВЕНЬ_(а)"/>
    <w:basedOn w:val="ListParagraph"/>
    <w:qFormat/>
    <w:rsid w:val="00b56f46"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rsid w:val="00b56f46"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rsid w:val="00b56f46"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6" w:customStyle="1">
    <w:name w:val="УРОВЕНЬ_Абзац_тип3"/>
    <w:basedOn w:val="ListParagraph"/>
    <w:link w:val="31"/>
    <w:qFormat/>
    <w:rsid w:val="00b56f46"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4" w:customStyle="1">
    <w:name w:val="УРОВЕНЬ_Подпись"/>
    <w:basedOn w:val="ListParagraph"/>
    <w:qFormat/>
    <w:rsid w:val="00b56f46"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8" w:customStyle="1">
    <w:name w:val="Стиль Заголовок 1 + по ширине"/>
    <w:basedOn w:val="Heading1"/>
    <w:qFormat/>
    <w:rsid w:val="005773b2"/>
    <w:pPr>
      <w:keepLines/>
      <w:numPr>
        <w:ilvl w:val="0"/>
        <w:numId w:val="0"/>
      </w:numPr>
      <w:tabs>
        <w:tab w:val="clear" w:pos="708"/>
        <w:tab w:val="left" w:pos="567" w:leader="none"/>
      </w:tabs>
      <w:spacing w:before="480" w:after="240"/>
      <w:ind w:left="567" w:hanging="567"/>
      <w:jc w:val="both"/>
    </w:pPr>
    <w:rPr>
      <w:rFonts w:ascii="Arial" w:hAnsi="Arial" w:eastAsia="Times New Roman"/>
      <w:bCs/>
      <w:kern w:val="2"/>
      <w:sz w:val="40"/>
      <w:szCs w:val="20"/>
      <w:lang w:val="ru-RU" w:eastAsia="ru-RU"/>
    </w:rPr>
  </w:style>
  <w:style w:type="paragraph" w:styleId="EndnoteText">
    <w:name w:val="Endnote Text"/>
    <w:basedOn w:val="Normal"/>
    <w:link w:val="Style12"/>
    <w:rsid w:val="003879d4"/>
    <w:pPr/>
    <w:rPr>
      <w:sz w:val="20"/>
      <w:szCs w:val="20"/>
    </w:rPr>
  </w:style>
  <w:style w:type="paragraph" w:styleId="28" w:customStyle="1">
    <w:name w:val="Заголовок 2 КВВ"/>
    <w:basedOn w:val="Normal"/>
    <w:qFormat/>
    <w:rsid w:val="00cb35e8"/>
    <w:pPr>
      <w:keepNext w:val="true"/>
      <w:numPr>
        <w:ilvl w:val="0"/>
        <w:numId w:val="5"/>
      </w:numPr>
      <w:spacing w:before="120" w:after="120"/>
      <w:jc w:val="both"/>
      <w:outlineLvl w:val="0"/>
    </w:pPr>
    <w:rPr>
      <w:b/>
      <w:kern w:val="2"/>
      <w:szCs w:val="20"/>
      <w:lang w:eastAsia="x-none"/>
    </w:rPr>
  </w:style>
  <w:style w:type="paragraph" w:styleId="Style35" w:customStyle="1">
    <w:name w:val="Таблица текст"/>
    <w:basedOn w:val="Normal"/>
    <w:qFormat/>
    <w:rsid w:val="00343e95"/>
    <w:pPr>
      <w:spacing w:before="40" w:after="40"/>
      <w:ind w:left="57" w:right="57" w:hanging="0"/>
    </w:pPr>
    <w:rPr>
      <w:szCs w:val="26"/>
    </w:rPr>
  </w:style>
  <w:style w:type="paragraph" w:styleId="NormalWeb">
    <w:name w:val="Normal (Web)"/>
    <w:basedOn w:val="Normal"/>
    <w:uiPriority w:val="99"/>
    <w:unhideWhenUsed/>
    <w:qFormat/>
    <w:rsid w:val="00265d9f"/>
    <w:pPr>
      <w:spacing w:beforeAutospacing="1" w:afterAutospacing="1"/>
    </w:pPr>
    <w:rPr>
      <w:szCs w:val="24"/>
    </w:rPr>
  </w:style>
  <w:style w:type="paragraph" w:styleId="19" w:customStyle="1">
    <w:name w:val="УРОВЕНЬ_1."/>
    <w:basedOn w:val="ListParagraph"/>
    <w:link w:val="12"/>
    <w:qFormat/>
    <w:rsid w:val="004a17ae"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next w:val="Normal"/>
    <w:autoRedefine/>
    <w:unhideWhenUsed/>
    <w:rsid w:val="00d849aa"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d849aa"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d849aa"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Xl74" w:customStyle="1">
    <w:name w:val="xl74"/>
    <w:basedOn w:val="Normal"/>
    <w:qFormat/>
    <w:rsid w:val="002651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styleId="Xl99" w:customStyle="1">
    <w:name w:val="xl99"/>
    <w:basedOn w:val="Normal"/>
    <w:qFormat/>
    <w:rsid w:val="002651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Cs w:val="24"/>
    </w:rPr>
  </w:style>
  <w:style w:type="paragraph" w:styleId="Default" w:customStyle="1">
    <w:name w:val="Default"/>
    <w:qFormat/>
    <w:rsid w:val="001d0b93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Msonormal" w:customStyle="1">
    <w:name w:val="msonormal"/>
    <w:basedOn w:val="Normal"/>
    <w:qFormat/>
    <w:rsid w:val="00e23161"/>
    <w:pPr>
      <w:spacing w:beforeAutospacing="1" w:afterAutospacing="1"/>
    </w:pPr>
    <w:rPr>
      <w:szCs w:val="24"/>
    </w:rPr>
  </w:style>
  <w:style w:type="paragraph" w:styleId="Xl63" w:customStyle="1">
    <w:name w:val="xl63"/>
    <w:basedOn w:val="Normal"/>
    <w:qFormat/>
    <w:rsid w:val="00e23161"/>
    <w:pPr>
      <w:spacing w:beforeAutospacing="1" w:afterAutospacing="1"/>
    </w:pPr>
    <w:rPr>
      <w:rFonts w:ascii="Arial" w:hAnsi="Arial" w:cs="Arial"/>
      <w:sz w:val="16"/>
      <w:szCs w:val="16"/>
    </w:rPr>
  </w:style>
  <w:style w:type="paragraph" w:styleId="Xl64" w:customStyle="1">
    <w:name w:val="xl64"/>
    <w:basedOn w:val="Normal"/>
    <w:qFormat/>
    <w:rsid w:val="00e23161"/>
    <w:pPr>
      <w:spacing w:beforeAutospacing="1" w:afterAutospacing="1"/>
    </w:pPr>
    <w:rPr>
      <w:rFonts w:ascii="Arial" w:hAnsi="Arial" w:cs="Arial"/>
      <w:sz w:val="16"/>
      <w:szCs w:val="16"/>
    </w:rPr>
  </w:style>
  <w:style w:type="paragraph" w:styleId="Xl65" w:customStyle="1">
    <w:name w:val="xl65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66" w:customStyle="1">
    <w:name w:val="xl66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67" w:customStyle="1">
    <w:name w:val="xl67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68" w:customStyle="1">
    <w:name w:val="xl68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styleId="Xl69" w:customStyle="1">
    <w:name w:val="xl69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styleId="Xl70" w:customStyle="1">
    <w:name w:val="xl70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styleId="Xl71" w:customStyle="1">
    <w:name w:val="xl71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styleId="Xl72" w:customStyle="1">
    <w:name w:val="xl72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styleId="Xl73" w:customStyle="1">
    <w:name w:val="xl73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sz w:val="16"/>
      <w:szCs w:val="16"/>
    </w:rPr>
  </w:style>
  <w:style w:type="paragraph" w:styleId="Xl75" w:customStyle="1">
    <w:name w:val="xl75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16"/>
      <w:szCs w:val="16"/>
    </w:rPr>
  </w:style>
  <w:style w:type="paragraph" w:styleId="Xl76" w:customStyle="1">
    <w:name w:val="xl76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16"/>
      <w:szCs w:val="16"/>
    </w:rPr>
  </w:style>
  <w:style w:type="paragraph" w:styleId="Xl77" w:customStyle="1">
    <w:name w:val="xl77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styleId="Xl78" w:customStyle="1">
    <w:name w:val="xl78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styleId="Xl79" w:customStyle="1">
    <w:name w:val="xl79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styleId="Xl80" w:customStyle="1">
    <w:name w:val="xl80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styleId="Xl81" w:customStyle="1">
    <w:name w:val="xl81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styleId="Xl82" w:customStyle="1">
    <w:name w:val="xl82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styleId="Xl83" w:customStyle="1">
    <w:name w:val="xl83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styleId="Xl84" w:customStyle="1">
    <w:name w:val="xl84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styleId="Xl85" w:customStyle="1">
    <w:name w:val="xl85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styleId="Xl86" w:customStyle="1">
    <w:name w:val="xl86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styleId="Xl87" w:customStyle="1">
    <w:name w:val="xl87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styleId="Xl88" w:customStyle="1">
    <w:name w:val="xl88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styleId="Xl89" w:customStyle="1">
    <w:name w:val="xl89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styleId="Xl90" w:customStyle="1">
    <w:name w:val="xl90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styleId="Xl91" w:customStyle="1">
    <w:name w:val="xl91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styleId="Xl92" w:customStyle="1">
    <w:name w:val="xl92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styleId="Xl93" w:customStyle="1">
    <w:name w:val="xl93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styleId="Xl94" w:customStyle="1">
    <w:name w:val="xl94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styleId="Xl95" w:customStyle="1">
    <w:name w:val="xl95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styleId="Xl96" w:customStyle="1">
    <w:name w:val="xl96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styleId="Xl98" w:customStyle="1">
    <w:name w:val="xl98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rFonts w:ascii="Arial" w:hAnsi="Arial" w:cs="Arial"/>
      <w:sz w:val="16"/>
      <w:szCs w:val="16"/>
    </w:rPr>
  </w:style>
  <w:style w:type="paragraph" w:styleId="Xl100" w:customStyle="1">
    <w:name w:val="xl100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styleId="Xl101" w:customStyle="1">
    <w:name w:val="xl101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styleId="Xl102" w:customStyle="1">
    <w:name w:val="xl102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styleId="Xl103" w:customStyle="1">
    <w:name w:val="xl103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styleId="Xl104" w:customStyle="1">
    <w:name w:val="xl104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Cs w:val="24"/>
    </w:rPr>
  </w:style>
  <w:style w:type="paragraph" w:styleId="Xl105" w:customStyle="1">
    <w:name w:val="xl105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16"/>
      <w:szCs w:val="16"/>
    </w:rPr>
  </w:style>
  <w:style w:type="paragraph" w:styleId="Xl106" w:customStyle="1">
    <w:name w:val="xl106"/>
    <w:basedOn w:val="Normal"/>
    <w:qFormat/>
    <w:rsid w:val="00e231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16"/>
      <w:szCs w:val="16"/>
    </w:rPr>
  </w:style>
  <w:style w:type="paragraph" w:styleId="Xl107" w:customStyle="1">
    <w:name w:val="xl107"/>
    <w:basedOn w:val="Normal"/>
    <w:qFormat/>
    <w:rsid w:val="007c5a15"/>
    <w:pPr>
      <w:pBdr>
        <w:top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styleId="Xl108" w:customStyle="1">
    <w:name w:val="xl108"/>
    <w:basedOn w:val="Normal"/>
    <w:qFormat/>
    <w:rsid w:val="007c5a15"/>
    <w:pPr>
      <w:pBdr>
        <w:top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styleId="Xl109" w:customStyle="1">
    <w:name w:val="xl109"/>
    <w:basedOn w:val="Normal"/>
    <w:qFormat/>
    <w:rsid w:val="007c5a15"/>
    <w:pPr>
      <w:pBdr>
        <w:top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styleId="Xl110" w:customStyle="1">
    <w:name w:val="xl110"/>
    <w:basedOn w:val="Normal"/>
    <w:qFormat/>
    <w:rsid w:val="007c5a15"/>
    <w:pPr>
      <w:pBdr>
        <w:top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styleId="Xl111" w:customStyle="1">
    <w:name w:val="xl111"/>
    <w:basedOn w:val="Normal"/>
    <w:qFormat/>
    <w:rsid w:val="007c5a15"/>
    <w:pPr>
      <w:spacing w:beforeAutospacing="1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styleId="Xl112" w:customStyle="1">
    <w:name w:val="xl112"/>
    <w:basedOn w:val="Normal"/>
    <w:qFormat/>
    <w:rsid w:val="007c5a15"/>
    <w:pPr>
      <w:spacing w:beforeAutospacing="1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styleId="Xl113" w:customStyle="1">
    <w:name w:val="xl113"/>
    <w:basedOn w:val="Normal"/>
    <w:qFormat/>
    <w:rsid w:val="007c5a15"/>
    <w:pPr>
      <w:spacing w:beforeAutospacing="1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styleId="Xl114" w:customStyle="1">
    <w:name w:val="xl114"/>
    <w:basedOn w:val="Normal"/>
    <w:qFormat/>
    <w:rsid w:val="007c5a15"/>
    <w:pPr>
      <w:spacing w:beforeAutospacing="1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styleId="Xl115" w:customStyle="1">
    <w:name w:val="xl115"/>
    <w:basedOn w:val="Normal"/>
    <w:qFormat/>
    <w:rsid w:val="007c5a15"/>
    <w:pPr>
      <w:spacing w:beforeAutospacing="1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styleId="Xl116" w:customStyle="1">
    <w:name w:val="xl116"/>
    <w:basedOn w:val="Normal"/>
    <w:qFormat/>
    <w:rsid w:val="007c5a15"/>
    <w:pPr>
      <w:pBdr>
        <w:top w:val="single" w:sz="4" w:space="0" w:color="000000"/>
        <w:left w:val="single" w:sz="4" w:space="0" w:color="000000"/>
      </w:pBdr>
      <w:spacing w:beforeAutospacing="1" w:afterAutospacing="1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"/>
    <w:qFormat/>
    <w:rsid w:val="007c5a15"/>
    <w:pPr>
      <w:pBdr>
        <w:top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styleId="Xl118" w:customStyle="1">
    <w:name w:val="xl118"/>
    <w:basedOn w:val="Normal"/>
    <w:qFormat/>
    <w:rsid w:val="007c5a15"/>
    <w:pPr>
      <w:pBdr>
        <w:top w:val="single" w:sz="4" w:space="0" w:color="000000"/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styleId="Xl119" w:customStyle="1">
    <w:name w:val="xl119"/>
    <w:basedOn w:val="Normal"/>
    <w:qFormat/>
    <w:rsid w:val="007c5a15"/>
    <w:pPr>
      <w:pBdr>
        <w:left w:val="single" w:sz="4" w:space="0" w:color="000000"/>
      </w:pBdr>
      <w:spacing w:beforeAutospacing="1" w:afterAutospacing="1"/>
    </w:pPr>
    <w:rPr>
      <w:rFonts w:ascii="Arial" w:hAnsi="Arial" w:cs="Arial"/>
      <w:sz w:val="16"/>
      <w:szCs w:val="16"/>
    </w:rPr>
  </w:style>
  <w:style w:type="paragraph" w:styleId="Xl120" w:customStyle="1">
    <w:name w:val="xl120"/>
    <w:basedOn w:val="Normal"/>
    <w:qFormat/>
    <w:rsid w:val="007c5a15"/>
    <w:pPr>
      <w:pBdr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styleId="Xl121" w:customStyle="1">
    <w:name w:val="xl121"/>
    <w:basedOn w:val="Normal"/>
    <w:qFormat/>
    <w:rsid w:val="007c5a15"/>
    <w:pPr>
      <w:pBdr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styleId="Xl122" w:customStyle="1">
    <w:name w:val="xl122"/>
    <w:basedOn w:val="Normal"/>
    <w:qFormat/>
    <w:rsid w:val="007c5a15"/>
    <w:pPr>
      <w:spacing w:beforeAutospacing="1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styleId="Xl123" w:customStyle="1">
    <w:name w:val="xl123"/>
    <w:basedOn w:val="Normal"/>
    <w:qFormat/>
    <w:rsid w:val="007c5a15"/>
    <w:pPr>
      <w:pBdr>
        <w:right w:val="single" w:sz="4" w:space="0" w:color="000000"/>
      </w:pBdr>
      <w:spacing w:beforeAutospacing="1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styleId="Xl124" w:customStyle="1">
    <w:name w:val="xl124"/>
    <w:basedOn w:val="Normal"/>
    <w:qFormat/>
    <w:rsid w:val="007c5a15"/>
    <w:pPr>
      <w:pBdr>
        <w:top w:val="single" w:sz="4" w:space="0" w:color="000000"/>
      </w:pBdr>
      <w:spacing w:beforeAutospacing="1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styleId="Xl125" w:customStyle="1">
    <w:name w:val="xl125"/>
    <w:basedOn w:val="Normal"/>
    <w:qFormat/>
    <w:rsid w:val="007c5a15"/>
    <w:pPr>
      <w:spacing w:beforeAutospacing="1" w:afterAutospacing="1"/>
      <w:jc w:val="center"/>
      <w:textAlignment w:val="top"/>
    </w:pPr>
    <w:rPr>
      <w:rFonts w:ascii="Arial" w:hAnsi="Arial" w:cs="Arial"/>
      <w:i/>
      <w:iCs/>
      <w:sz w:val="16"/>
      <w:szCs w:val="16"/>
    </w:rPr>
  </w:style>
  <w:style w:type="paragraph" w:styleId="Xl126" w:customStyle="1">
    <w:name w:val="xl126"/>
    <w:basedOn w:val="Normal"/>
    <w:qFormat/>
    <w:rsid w:val="007c5a15"/>
    <w:pPr>
      <w:spacing w:beforeAutospacing="1" w:afterAutospacing="1"/>
      <w:textAlignment w:val="top"/>
    </w:pPr>
    <w:rPr>
      <w:rFonts w:ascii="Arial" w:hAnsi="Arial" w:cs="Arial"/>
      <w:sz w:val="16"/>
      <w:szCs w:val="16"/>
    </w:rPr>
  </w:style>
  <w:style w:type="paragraph" w:styleId="Xl127" w:customStyle="1">
    <w:name w:val="xl127"/>
    <w:basedOn w:val="Normal"/>
    <w:qFormat/>
    <w:rsid w:val="007c5a15"/>
    <w:pPr>
      <w:pBdr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16"/>
      <w:szCs w:val="16"/>
    </w:rPr>
  </w:style>
  <w:style w:type="paragraph" w:styleId="Xl128" w:customStyle="1">
    <w:name w:val="xl128"/>
    <w:basedOn w:val="Normal"/>
    <w:qFormat/>
    <w:rsid w:val="007c5a15"/>
    <w:pPr>
      <w:spacing w:beforeAutospacing="1" w:afterAutospacing="1"/>
      <w:textAlignment w:val="top"/>
    </w:pPr>
    <w:rPr>
      <w:rFonts w:ascii="Arial" w:hAnsi="Arial" w:cs="Arial"/>
      <w:sz w:val="16"/>
      <w:szCs w:val="16"/>
    </w:rPr>
  </w:style>
  <w:style w:type="paragraph" w:styleId="Xl129" w:customStyle="1">
    <w:name w:val="xl129"/>
    <w:basedOn w:val="Normal"/>
    <w:qFormat/>
    <w:rsid w:val="007c5a15"/>
    <w:pPr>
      <w:pBdr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16"/>
      <w:szCs w:val="16"/>
    </w:rPr>
  </w:style>
  <w:style w:type="paragraph" w:styleId="Xl130" w:customStyle="1">
    <w:name w:val="xl130"/>
    <w:basedOn w:val="Normal"/>
    <w:qFormat/>
    <w:rsid w:val="007c5a15"/>
    <w:pPr>
      <w:pBdr>
        <w:right w:val="single" w:sz="4" w:space="0" w:color="000000"/>
      </w:pBdr>
      <w:spacing w:beforeAutospacing="1" w:afterAutospacing="1"/>
      <w:textAlignment w:val="top"/>
    </w:pPr>
    <w:rPr>
      <w:rFonts w:ascii="Arial" w:hAnsi="Arial" w:cs="Arial"/>
      <w:sz w:val="16"/>
      <w:szCs w:val="16"/>
    </w:rPr>
  </w:style>
  <w:style w:type="paragraph" w:styleId="Xl131" w:customStyle="1">
    <w:name w:val="xl131"/>
    <w:basedOn w:val="Normal"/>
    <w:qFormat/>
    <w:rsid w:val="007c5a15"/>
    <w:pPr>
      <w:spacing w:beforeAutospacing="1" w:afterAutospacing="1"/>
      <w:textAlignment w:val="top"/>
    </w:pPr>
    <w:rPr>
      <w:rFonts w:ascii="Arial" w:hAnsi="Arial" w:cs="Arial"/>
      <w:i/>
      <w:iCs/>
      <w:sz w:val="16"/>
      <w:szCs w:val="16"/>
    </w:rPr>
  </w:style>
  <w:style w:type="paragraph" w:styleId="Xl132" w:customStyle="1">
    <w:name w:val="xl132"/>
    <w:basedOn w:val="Normal"/>
    <w:qFormat/>
    <w:rsid w:val="007c5a1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33" w:customStyle="1">
    <w:name w:val="xl133"/>
    <w:basedOn w:val="Normal"/>
    <w:qFormat/>
    <w:rsid w:val="007c5a15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34" w:customStyle="1">
    <w:name w:val="xl134"/>
    <w:basedOn w:val="Normal"/>
    <w:qFormat/>
    <w:rsid w:val="007c5a1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35" w:customStyle="1">
    <w:name w:val="xl135"/>
    <w:basedOn w:val="Normal"/>
    <w:qFormat/>
    <w:rsid w:val="007c5a1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36" w:customStyle="1">
    <w:name w:val="xl136"/>
    <w:basedOn w:val="Normal"/>
    <w:qFormat/>
    <w:rsid w:val="007c5a15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37" w:customStyle="1">
    <w:name w:val="xl137"/>
    <w:basedOn w:val="Normal"/>
    <w:qFormat/>
    <w:rsid w:val="007c5a1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38" w:customStyle="1">
    <w:name w:val="xl138"/>
    <w:basedOn w:val="Normal"/>
    <w:qFormat/>
    <w:rsid w:val="007c5a15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39" w:customStyle="1">
    <w:name w:val="xl139"/>
    <w:basedOn w:val="Normal"/>
    <w:qFormat/>
    <w:rsid w:val="007c5a15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40" w:customStyle="1">
    <w:name w:val="xl140"/>
    <w:basedOn w:val="Normal"/>
    <w:qFormat/>
    <w:rsid w:val="007c5a15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41" w:customStyle="1">
    <w:name w:val="xl141"/>
    <w:basedOn w:val="Normal"/>
    <w:qFormat/>
    <w:rsid w:val="007c5a15"/>
    <w:pPr>
      <w:pBdr>
        <w:lef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42" w:customStyle="1">
    <w:name w:val="xl142"/>
    <w:basedOn w:val="Normal"/>
    <w:qFormat/>
    <w:rsid w:val="007c5a15"/>
    <w:pP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43" w:customStyle="1">
    <w:name w:val="xl143"/>
    <w:basedOn w:val="Normal"/>
    <w:qFormat/>
    <w:rsid w:val="007c5a15"/>
    <w:pPr>
      <w:pBdr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44" w:customStyle="1">
    <w:name w:val="xl144"/>
    <w:basedOn w:val="Normal"/>
    <w:qFormat/>
    <w:rsid w:val="007c5a15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45" w:customStyle="1">
    <w:name w:val="xl145"/>
    <w:basedOn w:val="Normal"/>
    <w:qFormat/>
    <w:rsid w:val="007c5a15"/>
    <w:pPr>
      <w:pBdr>
        <w:bottom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46" w:customStyle="1">
    <w:name w:val="xl146"/>
    <w:basedOn w:val="Normal"/>
    <w:qFormat/>
    <w:rsid w:val="007c5a15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Style36" w:customStyle="1">
    <w:name w:val="Содержимое врезки"/>
    <w:basedOn w:val="Normal"/>
    <w:qFormat/>
    <w:pPr/>
    <w:rPr/>
  </w:style>
  <w:style w:type="paragraph" w:styleId="Style37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38" w:customStyle="1">
    <w:name w:val="Заголовок таблицы"/>
    <w:basedOn w:val="Style37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110" w:customStyle="1">
    <w:name w:val="Стиль1"/>
    <w:uiPriority w:val="99"/>
    <w:qFormat/>
    <w:rsid w:val="00f001e4"/>
  </w:style>
  <w:style w:type="numbering" w:styleId="29" w:customStyle="1">
    <w:name w:val="Стиль2"/>
    <w:uiPriority w:val="99"/>
    <w:qFormat/>
    <w:rsid w:val="006629c9"/>
  </w:style>
  <w:style w:type="numbering" w:styleId="25281045251" w:customStyle="1">
    <w:name w:val="25281045251"/>
    <w:qFormat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b">
    <w:name w:val="Table Grid"/>
    <w:basedOn w:val="a5"/>
    <w:uiPriority w:val="39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c">
    <w:name w:val="Сетка таблицы1"/>
    <w:basedOn w:val="a5"/>
    <w:uiPriority w:val="39"/>
    <w:rsid w:val="00214b9f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yperlink" Target="https://corp.yakutskenergo.ru/documents/files/STO-00-022.01-22-20221226155059.pdf" TargetMode="External"/><Relationship Id="rId6" Type="http://schemas.openxmlformats.org/officeDocument/2006/relationships/hyperlink" Target="https://yakutskenergo.ru/procurement/information-for-partners" TargetMode="External"/><Relationship Id="rId7" Type="http://schemas.openxmlformats.org/officeDocument/2006/relationships/header" Target="header4.xml"/><Relationship Id="rId8" Type="http://schemas.openxmlformats.org/officeDocument/2006/relationships/header" Target="header5.xml"/><Relationship Id="rId9" Type="http://schemas.openxmlformats.org/officeDocument/2006/relationships/header" Target="header6.xml"/><Relationship Id="rId10" Type="http://schemas.openxmlformats.org/officeDocument/2006/relationships/header" Target="header7.xml"/><Relationship Id="rId11" Type="http://schemas.openxmlformats.org/officeDocument/2006/relationships/header" Target="header8.xml"/><Relationship Id="rId12" Type="http://schemas.openxmlformats.org/officeDocument/2006/relationships/header" Target="header9.xml"/><Relationship Id="rId13" Type="http://schemas.openxmlformats.org/officeDocument/2006/relationships/footer" Target="footer1.xml"/><Relationship Id="rId14" Type="http://schemas.openxmlformats.org/officeDocument/2006/relationships/header" Target="header10.xml"/><Relationship Id="rId15" Type="http://schemas.openxmlformats.org/officeDocument/2006/relationships/header" Target="header11.xml"/><Relationship Id="rId16" Type="http://schemas.openxmlformats.org/officeDocument/2006/relationships/footer" Target="footer2.xml"/><Relationship Id="rId17" Type="http://schemas.openxmlformats.org/officeDocument/2006/relationships/footer" Target="footer3.xml"/><Relationship Id="rId18" Type="http://schemas.openxmlformats.org/officeDocument/2006/relationships/numbering" Target="numbering.xml"/><Relationship Id="rId19" Type="http://schemas.openxmlformats.org/officeDocument/2006/relationships/fontTable" Target="fontTable.xml"/><Relationship Id="rId20" Type="http://schemas.openxmlformats.org/officeDocument/2006/relationships/settings" Target="settings.xml"/><Relationship Id="rId21" Type="http://schemas.openxmlformats.org/officeDocument/2006/relationships/theme" Target="theme/theme1.xml"/><Relationship Id="rId2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68507-5056-4830-95F8-599AE622D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Application>AlterOffice/3.4.0.9$Linux_X86_64 LibreOffice_project/b8daf9e823b1a5463a2f48435ddc2e8696e7d4fc</Application>
  <AppVersion>15.0000</AppVersion>
  <Pages>16</Pages>
  <Words>2115</Words>
  <Characters>14742</Characters>
  <CharactersWithSpaces>16595</CharactersWithSpaces>
  <Paragraphs>323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2025-10-02T06:21:00Z</dcterms:created>
  <dc:creator>Solovev-VV@yakutskenergo.ru</dc:creator>
  <dc:description/>
  <dc:language>ru-RU</dc:language>
  <cp:lastModifiedBy>efremovas</cp:lastModifiedBy>
  <cp:lastPrinted>2025-12-02T05:59:00Z</cp:lastPrinted>
  <dcterms:modified xsi:type="dcterms:W3CDTF">2026-06-15T14:52:58Z</dcterms:modified>
  <cp:revision>39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